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A963" w14:textId="77777777" w:rsidR="00786B48" w:rsidRDefault="00786B48" w:rsidP="00F1286F">
      <w:pPr>
        <w:jc w:val="right"/>
        <w:rPr>
          <w:shd w:val="clear" w:color="auto" w:fill="FFFFFF"/>
          <w:lang w:val="lv-LV"/>
        </w:rPr>
      </w:pPr>
      <w:bookmarkStart w:id="0" w:name="_Hlk5700781"/>
      <w:r w:rsidRPr="00786B48">
        <w:rPr>
          <w:shd w:val="clear" w:color="auto" w:fill="FFFFFF"/>
          <w:lang w:val="lv-LV"/>
        </w:rPr>
        <w:t>3.pielikums</w:t>
      </w:r>
    </w:p>
    <w:p w14:paraId="38C3F483" w14:textId="6C18BB09" w:rsidR="00F1286F" w:rsidRPr="00C9360B" w:rsidRDefault="00C9360B" w:rsidP="00C9360B">
      <w:pPr>
        <w:tabs>
          <w:tab w:val="left" w:pos="567"/>
        </w:tabs>
        <w:jc w:val="center"/>
        <w:rPr>
          <w:lang w:val="lv-LV"/>
        </w:rPr>
      </w:pPr>
      <w:r w:rsidRPr="00C9360B">
        <w:rPr>
          <w:lang w:val="lv-LV"/>
        </w:rPr>
        <w:t>Projektu konkurss “Atbalsts Ukrainas un Latvijas bērnu un jauniešu nometnēm”</w:t>
      </w:r>
    </w:p>
    <w:p w14:paraId="50880C3F" w14:textId="77777777" w:rsidR="001A2915" w:rsidRPr="001C2123" w:rsidRDefault="001A2915" w:rsidP="001A2915">
      <w:pPr>
        <w:spacing w:before="100" w:beforeAutospacing="1" w:after="100" w:afterAutospacing="1"/>
        <w:jc w:val="center"/>
        <w:rPr>
          <w:b/>
          <w:lang w:val="lv-LV"/>
        </w:rPr>
      </w:pPr>
      <w:r w:rsidRPr="001C2123">
        <w:rPr>
          <w:b/>
          <w:shd w:val="clear" w:color="auto" w:fill="FFFFFF"/>
          <w:lang w:val="lv-LV"/>
        </w:rPr>
        <w:t>Projektu iesniegumu vērtēšanas kritēriji</w:t>
      </w:r>
    </w:p>
    <w:bookmarkEnd w:id="0"/>
    <w:p w14:paraId="0E4AB1BE" w14:textId="77777777" w:rsidR="001A2915" w:rsidRPr="001C2123" w:rsidRDefault="001A2915" w:rsidP="001A2915">
      <w:pPr>
        <w:spacing w:before="100" w:beforeAutospacing="1" w:after="100" w:afterAutospacing="1"/>
        <w:jc w:val="center"/>
        <w:rPr>
          <w:b/>
          <w:lang w:val="lv-LV"/>
        </w:rPr>
      </w:pPr>
      <w:r w:rsidRPr="001C2123">
        <w:rPr>
          <w:b/>
          <w:lang w:val="lv-LV"/>
        </w:rPr>
        <w:t>1. Atbilstības kritēriji:</w:t>
      </w:r>
    </w:p>
    <w:p w14:paraId="62918C3B" w14:textId="77777777" w:rsidR="001A2915" w:rsidRPr="001C2123" w:rsidRDefault="001A2915" w:rsidP="0049034F">
      <w:pPr>
        <w:rPr>
          <w:lang w:val="lv-LV"/>
        </w:rPr>
      </w:pPr>
      <w:r w:rsidRPr="001C2123">
        <w:rPr>
          <w:lang w:val="lv-LV"/>
        </w:rPr>
        <w:t xml:space="preserve">1.1. </w:t>
      </w:r>
      <w:r w:rsidR="0049034F">
        <w:rPr>
          <w:lang w:val="lv-LV"/>
        </w:rPr>
        <w:t>P</w:t>
      </w:r>
      <w:r w:rsidRPr="001C2123">
        <w:rPr>
          <w:lang w:val="lv-LV"/>
        </w:rPr>
        <w:t>rojekta iesniedzēja un sadarbības partneru (ja attiecināms) atbilstības kritēriji:</w:t>
      </w:r>
    </w:p>
    <w:tbl>
      <w:tblPr>
        <w:tblW w:w="498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4"/>
        <w:gridCol w:w="7695"/>
        <w:gridCol w:w="877"/>
      </w:tblGrid>
      <w:tr w:rsidR="001A2915" w14:paraId="0A0D529A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94D8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DB09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Kritērijs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6EDCB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jā</w:t>
            </w:r>
            <w:proofErr w:type="spellEnd"/>
            <w:r>
              <w:t>/</w:t>
            </w:r>
            <w:proofErr w:type="spellStart"/>
            <w:r>
              <w:t>nē</w:t>
            </w:r>
            <w:proofErr w:type="spellEnd"/>
          </w:p>
        </w:tc>
      </w:tr>
      <w:tr w:rsidR="001A2915" w:rsidRPr="001D11B4" w14:paraId="5A58311B" w14:textId="77777777" w:rsidTr="00390204">
        <w:trPr>
          <w:trHeight w:val="270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686DB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1.1.1.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E1E70" w14:textId="77777777" w:rsidR="001D11B4" w:rsidRDefault="001A2915" w:rsidP="001D11B4">
            <w:pPr>
              <w:pStyle w:val="Sarakstarindkopa"/>
              <w:jc w:val="both"/>
              <w:rPr>
                <w:lang w:val="lv-LV"/>
              </w:rPr>
            </w:pPr>
            <w:r w:rsidRPr="001D11B4">
              <w:rPr>
                <w:lang w:val="lv-LV"/>
              </w:rPr>
              <w:t>Projekta iesniedzējs ir</w:t>
            </w:r>
            <w:r w:rsidR="00B2769A">
              <w:rPr>
                <w:lang w:val="lv-LV"/>
              </w:rPr>
              <w:t>:</w:t>
            </w:r>
          </w:p>
          <w:p w14:paraId="14ADEF0C" w14:textId="77B85BEF" w:rsidR="001D11B4" w:rsidRDefault="001D11B4" w:rsidP="001D11B4">
            <w:pPr>
              <w:pStyle w:val="Sarakstarindkopa"/>
              <w:numPr>
                <w:ilvl w:val="0"/>
                <w:numId w:val="11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Pr="001D11B4">
              <w:rPr>
                <w:lang w:val="lv-LV"/>
              </w:rPr>
              <w:t>ašvaldību dibinātas iestādes</w:t>
            </w:r>
            <w:r>
              <w:rPr>
                <w:lang w:val="lv-LV"/>
              </w:rPr>
              <w:t>;</w:t>
            </w:r>
          </w:p>
          <w:p w14:paraId="70ED7FEE" w14:textId="32815FBE" w:rsidR="001D11B4" w:rsidRDefault="00070C4B" w:rsidP="001D11B4">
            <w:pPr>
              <w:pStyle w:val="Sarakstarindkopa"/>
              <w:numPr>
                <w:ilvl w:val="0"/>
                <w:numId w:val="11"/>
              </w:numPr>
              <w:jc w:val="both"/>
              <w:rPr>
                <w:lang w:val="lv-LV"/>
              </w:rPr>
            </w:pPr>
            <w:r w:rsidRPr="001D11B4">
              <w:rPr>
                <w:lang w:val="lv-LV"/>
              </w:rPr>
              <w:t xml:space="preserve"> juridiska persona</w:t>
            </w:r>
            <w:r w:rsidR="001D11B4">
              <w:rPr>
                <w:lang w:val="lv-LV"/>
              </w:rPr>
              <w:t>;</w:t>
            </w:r>
          </w:p>
          <w:p w14:paraId="24D46AD3" w14:textId="17689154" w:rsidR="001D11B4" w:rsidRDefault="001D11B4" w:rsidP="001D11B4">
            <w:pPr>
              <w:pStyle w:val="Sarakstarindkopa"/>
              <w:numPr>
                <w:ilvl w:val="0"/>
                <w:numId w:val="11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b</w:t>
            </w:r>
            <w:r w:rsidR="001F006F" w:rsidRPr="001D11B4">
              <w:rPr>
                <w:lang w:val="lv-LV"/>
              </w:rPr>
              <w:t>iedrība/nodibinājums;</w:t>
            </w:r>
            <w:r>
              <w:rPr>
                <w:lang w:val="lv-LV"/>
              </w:rPr>
              <w:t xml:space="preserve"> </w:t>
            </w:r>
          </w:p>
          <w:p w14:paraId="13688DFA" w14:textId="0412E644" w:rsidR="001F006F" w:rsidRPr="001D11B4" w:rsidRDefault="001F006F" w:rsidP="001D11B4">
            <w:pPr>
              <w:pStyle w:val="Sarakstarindkopa"/>
              <w:numPr>
                <w:ilvl w:val="0"/>
                <w:numId w:val="11"/>
              </w:numPr>
              <w:jc w:val="both"/>
              <w:rPr>
                <w:lang w:val="lv-LV"/>
              </w:rPr>
            </w:pPr>
            <w:r w:rsidRPr="001D11B4">
              <w:rPr>
                <w:lang w:val="lv-LV"/>
              </w:rPr>
              <w:t>NVO</w:t>
            </w:r>
            <w:r w:rsidR="001D11B4">
              <w:rPr>
                <w:lang w:val="lv-LV"/>
              </w:rPr>
              <w:t>.</w:t>
            </w:r>
          </w:p>
          <w:p w14:paraId="42F10C2E" w14:textId="77777777" w:rsidR="00B2769A" w:rsidRPr="00070C4B" w:rsidRDefault="00B2769A" w:rsidP="0049034F">
            <w:pPr>
              <w:pStyle w:val="Sarakstarindkopa"/>
              <w:tabs>
                <w:tab w:val="left" w:pos="1134"/>
              </w:tabs>
              <w:ind w:right="-1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D2604" w14:textId="77777777" w:rsidR="001A2915" w:rsidRDefault="001A2915" w:rsidP="0049034F">
            <w:pPr>
              <w:rPr>
                <w:sz w:val="22"/>
                <w:szCs w:val="22"/>
                <w:lang w:val="lv-LV"/>
              </w:rPr>
            </w:pPr>
          </w:p>
        </w:tc>
      </w:tr>
      <w:tr w:rsidR="001A2915" w:rsidRPr="0046298C" w14:paraId="26B507A6" w14:textId="77777777" w:rsidTr="00390204">
        <w:trPr>
          <w:trHeight w:val="781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0C7DB" w14:textId="2D1B7355" w:rsidR="001A2915" w:rsidRDefault="001A2915" w:rsidP="0049034F">
            <w:pPr>
              <w:rPr>
                <w:szCs w:val="22"/>
                <w:lang w:val="lv-LV"/>
              </w:rPr>
            </w:pPr>
            <w:r>
              <w:t>1.1.2.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FD761" w14:textId="77777777" w:rsidR="001A2915" w:rsidRDefault="001A2915" w:rsidP="0049034F">
            <w:pPr>
              <w:tabs>
                <w:tab w:val="left" w:pos="1134"/>
              </w:tabs>
              <w:ind w:left="76" w:right="-1"/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 xml:space="preserve">Projekta iesniedzēja un sadarbības partnera, ja attiecināms, darbība nav apturēta, nav uzsākts maksātnespējas process 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66E45" w14:textId="77777777" w:rsidR="001A2915" w:rsidRPr="001C2123" w:rsidRDefault="001A2915" w:rsidP="0049034F">
            <w:pPr>
              <w:rPr>
                <w:lang w:val="lv-LV"/>
              </w:rPr>
            </w:pPr>
            <w:r w:rsidRPr="001C2123">
              <w:rPr>
                <w:lang w:val="lv-LV"/>
              </w:rPr>
              <w:t> </w:t>
            </w:r>
          </w:p>
          <w:p w14:paraId="23D1123A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 </w:t>
            </w:r>
          </w:p>
        </w:tc>
      </w:tr>
      <w:tr w:rsidR="001A2915" w:rsidRPr="0046298C" w14:paraId="70543842" w14:textId="77777777" w:rsidTr="001A291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33736" w14:textId="77777777" w:rsidR="001A2915" w:rsidRPr="001C2123" w:rsidRDefault="001A2915" w:rsidP="0049034F">
            <w:pPr>
              <w:jc w:val="both"/>
              <w:rPr>
                <w:lang w:val="lv-LV"/>
              </w:rPr>
            </w:pPr>
            <w:r w:rsidRPr="001C2123">
              <w:rPr>
                <w:lang w:val="lv-LV"/>
              </w:rPr>
              <w:t>Ja projekta iesniegums neatbilst 1.1.1., 1.1.2. apakšpunktā noteiktajiem projekta iesnieguma atbilstības kritērijiem, to noraida.</w:t>
            </w:r>
          </w:p>
          <w:p w14:paraId="5299C62B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</w:p>
        </w:tc>
      </w:tr>
    </w:tbl>
    <w:p w14:paraId="69FF379B" w14:textId="77777777" w:rsidR="001A2915" w:rsidRDefault="001A2915" w:rsidP="0049034F">
      <w:r>
        <w:t xml:space="preserve">1.2.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atbilstības</w:t>
      </w:r>
      <w:proofErr w:type="spellEnd"/>
      <w:r>
        <w:t xml:space="preserve"> </w:t>
      </w:r>
      <w:proofErr w:type="spellStart"/>
      <w:r>
        <w:t>kritēriji</w:t>
      </w:r>
      <w:proofErr w:type="spellEnd"/>
      <w:r>
        <w:t>:</w:t>
      </w:r>
    </w:p>
    <w:tbl>
      <w:tblPr>
        <w:tblW w:w="498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4"/>
        <w:gridCol w:w="7702"/>
        <w:gridCol w:w="870"/>
      </w:tblGrid>
      <w:tr w:rsidR="001A2915" w14:paraId="39F600E4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2A6B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94768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Kritērijs</w:t>
            </w:r>
            <w:proofErr w:type="spellEnd"/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51010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jā</w:t>
            </w:r>
            <w:proofErr w:type="spellEnd"/>
            <w:r>
              <w:t>/</w:t>
            </w:r>
            <w:proofErr w:type="spellStart"/>
            <w:r>
              <w:t>nē</w:t>
            </w:r>
            <w:proofErr w:type="spellEnd"/>
          </w:p>
        </w:tc>
      </w:tr>
      <w:tr w:rsidR="001A2915" w:rsidRPr="0046298C" w14:paraId="491D8B58" w14:textId="77777777" w:rsidTr="00390204">
        <w:trPr>
          <w:trHeight w:val="528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D04D2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1.2.1.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EA58A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Projekta iesniegums ir iesniegts šajā nolikumā noteiktajā termiņā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149EA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 </w:t>
            </w:r>
          </w:p>
        </w:tc>
      </w:tr>
      <w:tr w:rsidR="001A2915" w:rsidRPr="0046298C" w14:paraId="6991AE47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79A0B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1.2.2.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D6120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Projekta iesniegums ir nofo</w:t>
            </w:r>
            <w:r w:rsidR="00B2769A" w:rsidRPr="001C2123">
              <w:rPr>
                <w:lang w:val="lv-LV"/>
              </w:rPr>
              <w:t>rmēts atbilstoši š</w:t>
            </w:r>
            <w:r w:rsidR="00B2769A">
              <w:rPr>
                <w:lang w:val="lv-LV"/>
              </w:rPr>
              <w:t>im</w:t>
            </w:r>
            <w:r w:rsidR="00070C4B" w:rsidRPr="001C2123">
              <w:rPr>
                <w:lang w:val="lv-LV"/>
              </w:rPr>
              <w:t xml:space="preserve"> nolikuma</w:t>
            </w:r>
            <w:r w:rsidR="00B2769A">
              <w:rPr>
                <w:lang w:val="lv-LV"/>
              </w:rPr>
              <w:t>m</w:t>
            </w:r>
            <w:r w:rsidRPr="001C2123">
              <w:rPr>
                <w:lang w:val="lv-LV"/>
              </w:rPr>
              <w:t xml:space="preserve"> un ir pievienoti visi nolikumā noteiktie dokumenti (t.sk. sadarbības partneru apliecinājumi, ja attiecināms)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3ED41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 </w:t>
            </w:r>
          </w:p>
        </w:tc>
      </w:tr>
      <w:tr w:rsidR="001A2915" w:rsidRPr="0046298C" w14:paraId="568BA3B3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7C791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1.2.3.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FBD20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 xml:space="preserve">Projekta iesniegums ir pilnībā aizpildīts un sagatavots atbilstoši projekta iesnieguma veidlapai (nolikuma </w:t>
            </w:r>
            <w:r w:rsidR="00A4517A">
              <w:rPr>
                <w:lang w:val="lv-LV"/>
              </w:rPr>
              <w:t xml:space="preserve">1.un </w:t>
            </w:r>
            <w:r w:rsidR="00A4517A" w:rsidRPr="001C2123">
              <w:rPr>
                <w:lang w:val="lv-LV"/>
              </w:rPr>
              <w:t>2. pielikum</w:t>
            </w:r>
            <w:r w:rsidR="001C2123">
              <w:rPr>
                <w:lang w:val="lv-LV"/>
              </w:rPr>
              <w:t>s</w:t>
            </w:r>
            <w:r w:rsidRPr="001C2123">
              <w:rPr>
                <w:lang w:val="lv-LV"/>
              </w:rPr>
              <w:t>)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37FD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 </w:t>
            </w:r>
          </w:p>
        </w:tc>
      </w:tr>
      <w:tr w:rsidR="001A2915" w:rsidRPr="0046298C" w14:paraId="615A953D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3EC1C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1.2.4.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5BF19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D11B4">
              <w:rPr>
                <w:lang w:val="lv-LV"/>
              </w:rPr>
              <w:t>Plānotais projekta īstenošanas termiņš atbilst nolikumā norādītajam periodam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0DC27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D11B4">
              <w:rPr>
                <w:lang w:val="lv-LV"/>
              </w:rPr>
              <w:t> </w:t>
            </w:r>
          </w:p>
        </w:tc>
      </w:tr>
      <w:tr w:rsidR="001A2915" w:rsidRPr="0046298C" w14:paraId="7A9FAE28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C3387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1.2.5.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1B13D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rFonts w:eastAsia="Calibri"/>
                <w:lang w:val="lv-LV"/>
              </w:rPr>
              <w:t>Projekts nav ieņēmumu gūstošs, t.i., projekta ietvaros netiek gūti ieņēmumi un piedāvāti maksas pakalpojumi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939EA" w14:textId="77777777" w:rsidR="001A2915" w:rsidRDefault="001A2915" w:rsidP="0049034F">
            <w:pPr>
              <w:rPr>
                <w:szCs w:val="22"/>
                <w:lang w:val="lv-LV"/>
              </w:rPr>
            </w:pPr>
          </w:p>
        </w:tc>
      </w:tr>
      <w:tr w:rsidR="001A2915" w:rsidRPr="0046298C" w14:paraId="629C883B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920CD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 xml:space="preserve"> </w:t>
            </w:r>
            <w:r>
              <w:t>1.2.6.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C4472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Projekta iesniegumā pieprasītais finansējuma apmērs atbilst š</w:t>
            </w:r>
            <w:r w:rsidR="001C2123">
              <w:rPr>
                <w:lang w:val="lv-LV"/>
              </w:rPr>
              <w:t>ajā</w:t>
            </w:r>
            <w:r w:rsidRPr="001C2123">
              <w:rPr>
                <w:lang w:val="lv-LV"/>
              </w:rPr>
              <w:t xml:space="preserve"> nolikumā noteiktajam finansējuma apmēram un nepieciešams plānoto rezultātu sasniegšanai 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A9970" w14:textId="77777777" w:rsidR="001A2915" w:rsidRPr="001C2123" w:rsidRDefault="001A2915" w:rsidP="0049034F">
            <w:pPr>
              <w:rPr>
                <w:lang w:val="lv-LV"/>
              </w:rPr>
            </w:pPr>
            <w:r w:rsidRPr="001C2123">
              <w:rPr>
                <w:lang w:val="lv-LV"/>
              </w:rPr>
              <w:t> </w:t>
            </w:r>
          </w:p>
          <w:p w14:paraId="15DD373B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 </w:t>
            </w:r>
          </w:p>
        </w:tc>
      </w:tr>
      <w:tr w:rsidR="001A2915" w:rsidRPr="0046298C" w14:paraId="7318755B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3294F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1.2.7.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4886E" w14:textId="7F14BE20" w:rsidR="001A2915" w:rsidRPr="001D11B4" w:rsidRDefault="001A2915" w:rsidP="0049034F">
            <w:pPr>
              <w:jc w:val="both"/>
              <w:rPr>
                <w:lang w:val="fr-FR"/>
              </w:rPr>
            </w:pPr>
            <w:proofErr w:type="spellStart"/>
            <w:r w:rsidRPr="001D11B4">
              <w:rPr>
                <w:rFonts w:eastAsia="Arial Unicode MS"/>
                <w:kern w:val="2"/>
                <w:lang w:val="fr-FR" w:eastAsia="ar-SA"/>
              </w:rPr>
              <w:t>Projekts</w:t>
            </w:r>
            <w:proofErr w:type="spellEnd"/>
            <w:r w:rsidRPr="001D11B4">
              <w:rPr>
                <w:rFonts w:eastAsia="Arial Unicode MS"/>
                <w:kern w:val="2"/>
                <w:lang w:val="fr-FR" w:eastAsia="ar-SA"/>
              </w:rPr>
              <w:t xml:space="preserve"> </w:t>
            </w:r>
            <w:proofErr w:type="spellStart"/>
            <w:r w:rsidRPr="001D11B4">
              <w:rPr>
                <w:rFonts w:eastAsia="Arial Unicode MS"/>
                <w:kern w:val="2"/>
                <w:lang w:val="fr-FR" w:eastAsia="ar-SA"/>
              </w:rPr>
              <w:t>atbilst</w:t>
            </w:r>
            <w:proofErr w:type="spellEnd"/>
            <w:r w:rsidRPr="001D11B4">
              <w:rPr>
                <w:rFonts w:eastAsia="Arial Unicode MS"/>
                <w:kern w:val="2"/>
                <w:lang w:val="fr-FR" w:eastAsia="ar-SA"/>
              </w:rPr>
              <w:t xml:space="preserve"> </w:t>
            </w:r>
            <w:r w:rsidR="00390204" w:rsidRPr="00390204">
              <w:rPr>
                <w:lang w:val="lv-LV"/>
              </w:rPr>
              <w:t>p</w:t>
            </w:r>
            <w:proofErr w:type="spellStart"/>
            <w:r w:rsidR="00390204" w:rsidRPr="001D11B4">
              <w:rPr>
                <w:lang w:val="fr-FR"/>
              </w:rPr>
              <w:t>rogramm</w:t>
            </w:r>
            <w:proofErr w:type="spellEnd"/>
            <w:r w:rsidR="00390204" w:rsidRPr="00390204">
              <w:rPr>
                <w:lang w:val="lv-LV"/>
              </w:rPr>
              <w:t>ai</w:t>
            </w:r>
            <w:r w:rsidR="00390204" w:rsidRPr="001D11B4">
              <w:rPr>
                <w:lang w:val="fr-FR"/>
              </w:rPr>
              <w:t xml:space="preserve"> “</w:t>
            </w:r>
            <w:proofErr w:type="spellStart"/>
            <w:r w:rsidR="001F006F" w:rsidRPr="001D11B4">
              <w:rPr>
                <w:bCs/>
                <w:lang w:val="fr-FR"/>
              </w:rPr>
              <w:t>Atbalsts</w:t>
            </w:r>
            <w:proofErr w:type="spellEnd"/>
            <w:r w:rsidR="001F006F" w:rsidRPr="001D11B4">
              <w:rPr>
                <w:bCs/>
                <w:lang w:val="fr-FR"/>
              </w:rPr>
              <w:t xml:space="preserve"> </w:t>
            </w:r>
            <w:proofErr w:type="spellStart"/>
            <w:r w:rsidR="001F006F" w:rsidRPr="001D11B4">
              <w:rPr>
                <w:bCs/>
                <w:lang w:val="fr-FR"/>
              </w:rPr>
              <w:t>Ukrainas</w:t>
            </w:r>
            <w:proofErr w:type="spellEnd"/>
            <w:r w:rsidR="001F006F" w:rsidRPr="001D11B4">
              <w:rPr>
                <w:bCs/>
                <w:lang w:val="fr-FR"/>
              </w:rPr>
              <w:t xml:space="preserve"> un </w:t>
            </w:r>
            <w:proofErr w:type="spellStart"/>
            <w:r w:rsidR="001F006F" w:rsidRPr="001D11B4">
              <w:rPr>
                <w:bCs/>
                <w:lang w:val="fr-FR"/>
              </w:rPr>
              <w:t>Latvijas</w:t>
            </w:r>
            <w:proofErr w:type="spellEnd"/>
            <w:r w:rsidR="001F006F" w:rsidRPr="001D11B4">
              <w:rPr>
                <w:bCs/>
                <w:lang w:val="fr-FR"/>
              </w:rPr>
              <w:t xml:space="preserve"> </w:t>
            </w:r>
            <w:proofErr w:type="spellStart"/>
            <w:r w:rsidR="001F006F" w:rsidRPr="001D11B4">
              <w:rPr>
                <w:bCs/>
                <w:lang w:val="fr-FR"/>
              </w:rPr>
              <w:t>bērnu</w:t>
            </w:r>
            <w:proofErr w:type="spellEnd"/>
            <w:r w:rsidR="001F006F" w:rsidRPr="001D11B4">
              <w:rPr>
                <w:bCs/>
                <w:lang w:val="fr-FR"/>
              </w:rPr>
              <w:t xml:space="preserve"> un </w:t>
            </w:r>
            <w:proofErr w:type="spellStart"/>
            <w:r w:rsidR="001F006F" w:rsidRPr="001D11B4">
              <w:rPr>
                <w:bCs/>
                <w:lang w:val="fr-FR"/>
              </w:rPr>
              <w:t>jauniešu</w:t>
            </w:r>
            <w:proofErr w:type="spellEnd"/>
            <w:r w:rsidR="001F006F" w:rsidRPr="001D11B4">
              <w:rPr>
                <w:bCs/>
                <w:lang w:val="fr-FR"/>
              </w:rPr>
              <w:t xml:space="preserve"> </w:t>
            </w:r>
            <w:proofErr w:type="spellStart"/>
            <w:r w:rsidR="001F006F" w:rsidRPr="001D11B4">
              <w:rPr>
                <w:bCs/>
                <w:lang w:val="fr-FR"/>
              </w:rPr>
              <w:t>nometnēm</w:t>
            </w:r>
            <w:proofErr w:type="spellEnd"/>
            <w:r w:rsidR="001F006F" w:rsidRPr="001D11B4">
              <w:rPr>
                <w:bCs/>
                <w:lang w:val="fr-FR"/>
              </w:rPr>
              <w:t>”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29770" w14:textId="77777777" w:rsidR="001A2915" w:rsidRDefault="001A2915" w:rsidP="0049034F">
            <w:pPr>
              <w:rPr>
                <w:szCs w:val="22"/>
                <w:lang w:val="lv-LV"/>
              </w:rPr>
            </w:pPr>
          </w:p>
        </w:tc>
      </w:tr>
      <w:tr w:rsidR="001A2915" w:rsidRPr="001D11B4" w14:paraId="29FED196" w14:textId="77777777" w:rsidTr="00390204"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23D1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1.2.8.</w:t>
            </w:r>
          </w:p>
        </w:tc>
        <w:tc>
          <w:tcPr>
            <w:tcW w:w="4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CA5E3" w14:textId="35969A29" w:rsidR="006C3FEB" w:rsidRDefault="001A2915" w:rsidP="006C3FEB">
            <w:pPr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 w:rsidRPr="001C2123">
              <w:rPr>
                <w:lang w:val="lv-LV"/>
              </w:rPr>
              <w:t xml:space="preserve">Projekta iesniegumā pamatota mērķa grupas atbilstība šajā nolikumā minētajam </w:t>
            </w:r>
            <w:r w:rsidR="00390204">
              <w:rPr>
                <w:lang w:val="lv-LV"/>
              </w:rPr>
              <w:t>bērniem un jauniešiem</w:t>
            </w:r>
            <w:r w:rsidR="006C3FEB">
              <w:rPr>
                <w:lang w:val="lv-LV"/>
              </w:rPr>
              <w:t>. M</w:t>
            </w:r>
            <w:r w:rsidR="006C3FEB" w:rsidRPr="006C3FEB">
              <w:rPr>
                <w:lang w:val="lv-LV"/>
              </w:rPr>
              <w:t>ērķgrupa – Ukrainas bērni un jaunieši, kuri reģistrēti Valsts izglītības informācijas sistēmā (VIIS), kā arī tie, kuri līdz šim mācījušies attālināti Ukrainas izglītības iestādēs, bet 2022./2023.mācību gadā uzsāks mācības Latvijas izglītības iestādēs.</w:t>
            </w:r>
          </w:p>
          <w:p w14:paraId="21A488C6" w14:textId="1C7500A4" w:rsidR="006C3FEB" w:rsidRPr="006C3FEB" w:rsidRDefault="0046298C" w:rsidP="006C3FEB">
            <w:pPr>
              <w:numPr>
                <w:ilvl w:val="0"/>
                <w:numId w:val="9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t>Bauskas novada</w:t>
            </w:r>
            <w:r w:rsidR="006C3FEB" w:rsidRPr="006C3FEB">
              <w:rPr>
                <w:lang w:val="lv-LV"/>
              </w:rPr>
              <w:t xml:space="preserve"> skolēni no 1.līdz 12.klasei.</w:t>
            </w:r>
          </w:p>
          <w:p w14:paraId="1F79B0DD" w14:textId="05AE8623" w:rsidR="001A2915" w:rsidRPr="00390204" w:rsidRDefault="001A2915" w:rsidP="0049034F">
            <w:pPr>
              <w:jc w:val="both"/>
              <w:rPr>
                <w:szCs w:val="22"/>
                <w:lang w:val="lv-LV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2E102" w14:textId="77777777" w:rsidR="001A2915" w:rsidRDefault="001A2915" w:rsidP="0049034F">
            <w:pPr>
              <w:rPr>
                <w:szCs w:val="22"/>
                <w:lang w:val="lv-LV"/>
              </w:rPr>
            </w:pPr>
          </w:p>
        </w:tc>
      </w:tr>
      <w:tr w:rsidR="001A2915" w:rsidRPr="0046298C" w14:paraId="0EE8C4C6" w14:textId="77777777" w:rsidTr="001A291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2263" w14:textId="77777777" w:rsidR="001A2915" w:rsidRPr="001C2123" w:rsidRDefault="001A2915" w:rsidP="0049034F">
            <w:pPr>
              <w:jc w:val="both"/>
              <w:rPr>
                <w:lang w:val="lv-LV"/>
              </w:rPr>
            </w:pPr>
            <w:r w:rsidRPr="001C2123">
              <w:rPr>
                <w:lang w:val="lv-LV"/>
              </w:rPr>
              <w:t>Ja projekta iesniegums neatbilst 1.2.1., 1.2.2., 1.2.3. un 1.2.8. apakšpunktā noteiktajiem projekta iesnieguma atbilstības kritērijiem, to noraida.</w:t>
            </w:r>
          </w:p>
          <w:p w14:paraId="392300F7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 xml:space="preserve">Ja projekta iesniegums neatbilst </w:t>
            </w:r>
            <w:r w:rsidR="00390204" w:rsidRPr="001C2123">
              <w:rPr>
                <w:lang w:val="lv-LV"/>
              </w:rPr>
              <w:t xml:space="preserve">1.2.4., 1.2.5., 1.2.6., 1.2.7. </w:t>
            </w:r>
            <w:r w:rsidRPr="001C2123">
              <w:rPr>
                <w:lang w:val="lv-LV"/>
              </w:rPr>
              <w:t xml:space="preserve">apakšpunktā noteiktajam kritērijam, to virza tālākai izvērtēšanai atbilstoši kvalitātes kritērijiem, taču projekta iesnieguma apstiprināšanas gadījumā lēmumā par projekta iesnieguma apstiprināšanu iekļauj nosacījumus </w:t>
            </w:r>
            <w:r w:rsidRPr="001C2123">
              <w:rPr>
                <w:lang w:val="lv-LV"/>
              </w:rPr>
              <w:lastRenderedPageBreak/>
              <w:t>projekta iesnieguma precizēšanai, kuru izpilde ir priekšnosacījumus līguma par projekta īstenošanu slēgšanai.</w:t>
            </w:r>
          </w:p>
        </w:tc>
      </w:tr>
    </w:tbl>
    <w:p w14:paraId="12D18685" w14:textId="77777777" w:rsidR="001A2915" w:rsidRDefault="001A2915" w:rsidP="0049034F">
      <w:pPr>
        <w:jc w:val="center"/>
        <w:rPr>
          <w:b/>
        </w:rPr>
      </w:pPr>
      <w:r>
        <w:rPr>
          <w:b/>
        </w:rPr>
        <w:lastRenderedPageBreak/>
        <w:t xml:space="preserve">2. </w:t>
      </w:r>
      <w:proofErr w:type="spellStart"/>
      <w:r>
        <w:rPr>
          <w:b/>
        </w:rPr>
        <w:t>Kvalitātes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kritēriji</w:t>
      </w:r>
      <w:proofErr w:type="spellEnd"/>
      <w:r>
        <w:rPr>
          <w:b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1"/>
        <w:gridCol w:w="6283"/>
        <w:gridCol w:w="1317"/>
        <w:gridCol w:w="867"/>
      </w:tblGrid>
      <w:tr w:rsidR="001A2915" w14:paraId="259CD861" w14:textId="77777777" w:rsidTr="001A2915">
        <w:trPr>
          <w:trHeight w:val="1001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264B3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EC56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Kritērijs</w:t>
            </w:r>
            <w:proofErr w:type="spellEnd"/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79C2" w14:textId="77777777" w:rsidR="001A2915" w:rsidRDefault="001A2915" w:rsidP="0049034F">
            <w:pPr>
              <w:jc w:val="center"/>
              <w:rPr>
                <w:szCs w:val="22"/>
                <w:vertAlign w:val="superscript"/>
                <w:lang w:val="lv-LV"/>
              </w:rPr>
            </w:pPr>
            <w:proofErr w:type="spellStart"/>
            <w:r>
              <w:t>Maksimālais</w:t>
            </w:r>
            <w:proofErr w:type="spellEnd"/>
            <w:r>
              <w:t xml:space="preserve"> </w:t>
            </w:r>
            <w:proofErr w:type="spellStart"/>
            <w:r>
              <w:t>punktu</w:t>
            </w:r>
            <w:proofErr w:type="spellEnd"/>
            <w:r>
              <w:t xml:space="preserve"> </w:t>
            </w:r>
            <w:proofErr w:type="spellStart"/>
            <w:r>
              <w:t>skaits</w:t>
            </w:r>
            <w:proofErr w:type="spellEnd"/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BCB23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proofErr w:type="spellStart"/>
            <w:r>
              <w:t>Iegūto</w:t>
            </w:r>
            <w:proofErr w:type="spellEnd"/>
            <w:r>
              <w:t xml:space="preserve"> </w:t>
            </w:r>
            <w:proofErr w:type="spellStart"/>
            <w:r>
              <w:t>punktu</w:t>
            </w:r>
            <w:proofErr w:type="spellEnd"/>
            <w:r>
              <w:t xml:space="preserve"> </w:t>
            </w:r>
            <w:proofErr w:type="spellStart"/>
            <w:r>
              <w:t>skaits</w:t>
            </w:r>
            <w:proofErr w:type="spellEnd"/>
          </w:p>
        </w:tc>
      </w:tr>
      <w:tr w:rsidR="001A2915" w14:paraId="0AC78B50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5D2D7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2.1.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62E29" w14:textId="26B47E51" w:rsidR="001A2915" w:rsidRPr="00390204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 xml:space="preserve">Projekta mērķa atbilstība un ietekme uz </w:t>
            </w:r>
            <w:r w:rsidR="00390204" w:rsidRPr="00390204">
              <w:rPr>
                <w:lang w:val="lv-LV"/>
              </w:rPr>
              <w:t>p</w:t>
            </w:r>
            <w:r w:rsidR="00390204" w:rsidRPr="001C2123">
              <w:rPr>
                <w:lang w:val="lv-LV"/>
              </w:rPr>
              <w:t>rogramm</w:t>
            </w:r>
            <w:r w:rsidR="00390204">
              <w:rPr>
                <w:lang w:val="lv-LV"/>
              </w:rPr>
              <w:t xml:space="preserve">as </w:t>
            </w:r>
            <w:r w:rsidR="00390204" w:rsidRPr="001C2123">
              <w:rPr>
                <w:lang w:val="lv-LV"/>
              </w:rPr>
              <w:t xml:space="preserve"> “</w:t>
            </w:r>
            <w:r w:rsidR="001F006F" w:rsidRPr="00A278AD">
              <w:rPr>
                <w:bCs/>
                <w:lang w:val="lv-LV"/>
              </w:rPr>
              <w:t>Atbalsts Ukrainas un Latvijas bērnu un jauniešu nometnēm</w:t>
            </w:r>
            <w:r w:rsidR="00390204" w:rsidRPr="001C2123">
              <w:rPr>
                <w:bCs/>
                <w:lang w:val="lv-LV"/>
              </w:rPr>
              <w:t>”</w:t>
            </w:r>
            <w:r w:rsidR="00390204">
              <w:rPr>
                <w:bCs/>
                <w:lang w:val="lv-LV"/>
              </w:rPr>
              <w:t xml:space="preserve"> noteiktajiem mērķiem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5D39B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3ACC3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532D114D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820B4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2.2.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B6C6A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D11B4">
              <w:rPr>
                <w:lang w:val="lv-LV"/>
              </w:rPr>
              <w:t>Projekta mērķa grupas raksturojums un vajadzību analīze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ADBE0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1F127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390204" w14:paraId="6DA7CD39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D904B" w14:textId="77777777" w:rsidR="00390204" w:rsidRPr="00390204" w:rsidRDefault="00390204" w:rsidP="0049034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2.3.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EE828" w14:textId="6015066D" w:rsidR="006C3FEB" w:rsidRPr="006C3FEB" w:rsidRDefault="006C3FEB" w:rsidP="006C3FEB">
            <w:pPr>
              <w:jc w:val="both"/>
              <w:rPr>
                <w:lang w:val="lv-LV"/>
              </w:rPr>
            </w:pPr>
            <w:r w:rsidRPr="006C3FEB">
              <w:rPr>
                <w:lang w:val="lv-LV"/>
              </w:rPr>
              <w:t xml:space="preserve"> Mērķgrupa – Ukrainas bērni un jaunieši, kuri reģistrēti Valsts izglītības informācijas sistēmā (VIIS), kā arī tie, kuri līdz šim mācījušies attālināti Ukrainas izglītības iestādēs, bet 2022./2023.mācību gadā uzsāks mācības Latvijas izglītības iestādēs.</w:t>
            </w:r>
          </w:p>
          <w:p w14:paraId="38840782" w14:textId="1583A7CF" w:rsidR="00390204" w:rsidRDefault="0046298C" w:rsidP="006C3FE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Bauskas novada</w:t>
            </w:r>
            <w:r w:rsidR="006C3FEB" w:rsidRPr="006C3FEB">
              <w:rPr>
                <w:lang w:val="lv-LV"/>
              </w:rPr>
              <w:t xml:space="preserve"> skolēni no 1.līdz 12.klasei.</w:t>
            </w:r>
            <w:r w:rsidR="006C3FEB">
              <w:rPr>
                <w:lang w:val="lv-LV"/>
              </w:rPr>
              <w:t xml:space="preserve"> </w:t>
            </w:r>
          </w:p>
          <w:p w14:paraId="7DB85D61" w14:textId="1D4C6CA1" w:rsidR="006C3FEB" w:rsidRPr="006C3FEB" w:rsidRDefault="006C3FEB" w:rsidP="006C3FE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B</w:t>
            </w:r>
            <w:r w:rsidRPr="006C3FEB">
              <w:rPr>
                <w:lang w:val="lv-LV"/>
              </w:rPr>
              <w:t xml:space="preserve">ērnu skaits sadalās aptuveni līdzvērtīgi - 50%/50% vietējie bērni/Ukrainas bērni. </w:t>
            </w:r>
          </w:p>
          <w:p w14:paraId="54952E24" w14:textId="3A1CFDCD" w:rsidR="006C3FEB" w:rsidRPr="00390204" w:rsidRDefault="006C3FEB" w:rsidP="006C3FEB">
            <w:pPr>
              <w:jc w:val="both"/>
              <w:rPr>
                <w:bCs/>
                <w:lang w:val="lv-LV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7EAF3" w14:textId="77777777" w:rsidR="00390204" w:rsidRPr="00A4517A" w:rsidRDefault="00A4517A" w:rsidP="0049034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D7540" w14:textId="77777777" w:rsidR="00390204" w:rsidRDefault="00390204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6D89E0DA" w14:textId="77777777" w:rsidTr="001A2915">
        <w:trPr>
          <w:trHeight w:val="313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8EDA8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2.4.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230CF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aktivitāšu</w:t>
            </w:r>
            <w:proofErr w:type="spellEnd"/>
            <w:r>
              <w:t xml:space="preserve"> </w:t>
            </w:r>
            <w:proofErr w:type="spellStart"/>
            <w:r>
              <w:t>novērtējums</w:t>
            </w:r>
            <w:proofErr w:type="spellEnd"/>
            <w:r>
              <w:t xml:space="preserve">: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72274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1B142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380DB94B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40E05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2.4.1.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AB55A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atbilstība nolikumā noteiktajām atbalstāmajām aktivitātēm</w:t>
            </w:r>
            <w:r w:rsidR="00390204">
              <w:rPr>
                <w:lang w:val="lv-LV"/>
              </w:rPr>
              <w:t xml:space="preserve"> un </w:t>
            </w:r>
            <w:r w:rsidR="00390204" w:rsidRPr="001C2123">
              <w:rPr>
                <w:rFonts w:eastAsia="Calibri"/>
                <w:lang w:val="lv-LV"/>
              </w:rPr>
              <w:t xml:space="preserve"> saturs </w:t>
            </w:r>
            <w:r w:rsidR="00390204" w:rsidRPr="001C2123">
              <w:rPr>
                <w:lang w:val="lv-LV"/>
              </w:rPr>
              <w:t xml:space="preserve">tematiski un mērķtiecīgi </w:t>
            </w:r>
            <w:r w:rsidR="00390204" w:rsidRPr="00092994">
              <w:rPr>
                <w:lang w:val="lv-LV"/>
              </w:rPr>
              <w:t xml:space="preserve">veidots </w:t>
            </w:r>
            <w:r w:rsidR="00390204" w:rsidRPr="001C2123">
              <w:rPr>
                <w:rFonts w:eastAsia="Calibri"/>
                <w:lang w:val="lv-LV"/>
              </w:rPr>
              <w:t>tā, lai sniegtu atbalstu bērniem un jauniešiem šādos virzienos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C07E0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6EF78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17BE71DE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3EE7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2.4.2.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BD06D" w14:textId="77777777" w:rsidR="001A2915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nepieciešamība projekta mērķa un plānoto rezultātu sasniegšanai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7BB65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CCFD8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7291824E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30C19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2.4.3.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3C245" w14:textId="6DDD001A" w:rsidR="001A2915" w:rsidRPr="00BB7D44" w:rsidRDefault="006C3FEB" w:rsidP="006C3FEB">
            <w:pPr>
              <w:jc w:val="both"/>
              <w:rPr>
                <w:szCs w:val="22"/>
                <w:lang w:val="lv-LV"/>
              </w:rPr>
            </w:pPr>
            <w:r>
              <w:rPr>
                <w:lang w:val="lv-LV"/>
              </w:rPr>
              <w:t>D</w:t>
            </w:r>
            <w:r w:rsidRPr="006C3FEB">
              <w:rPr>
                <w:lang w:val="lv-LV"/>
              </w:rPr>
              <w:t xml:space="preserve">ienas </w:t>
            </w:r>
            <w:r w:rsidR="0046298C">
              <w:rPr>
                <w:lang w:val="lv-LV"/>
              </w:rPr>
              <w:t>vai</w:t>
            </w:r>
            <w:r w:rsidRPr="006C3FEB">
              <w:rPr>
                <w:lang w:val="lv-LV"/>
              </w:rPr>
              <w:t xml:space="preserve"> diennakts nometnes, </w:t>
            </w:r>
            <w:r w:rsidR="0046298C" w:rsidRPr="0046298C">
              <w:rPr>
                <w:lang w:val="lv-LV"/>
              </w:rPr>
              <w:t>ilgums ir no 3 dienu dienas nometnes un 5 dienu diennakts nometnes. Dienas nometnes programma dienā vismaz 6 stundu ilga.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0AAD5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68679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145E4B1E" w14:textId="77777777" w:rsidTr="001A2915"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nil"/>
              <w:right w:val="outset" w:sz="6" w:space="0" w:color="auto"/>
            </w:tcBorders>
            <w:hideMark/>
          </w:tcPr>
          <w:p w14:paraId="5340ECEF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2.5.</w:t>
            </w:r>
          </w:p>
        </w:tc>
        <w:tc>
          <w:tcPr>
            <w:tcW w:w="33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CE7DBD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Projekta aktivitāšu laika plānojuma novērtējums (reāli izpildāms un loģisks)</w:t>
            </w:r>
          </w:p>
        </w:tc>
        <w:tc>
          <w:tcPr>
            <w:tcW w:w="705" w:type="pct"/>
            <w:tcBorders>
              <w:top w:val="single" w:sz="6" w:space="0" w:color="auto"/>
              <w:left w:val="outset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BAB19A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single" w:sz="6" w:space="0" w:color="auto"/>
              <w:left w:val="outset" w:sz="6" w:space="0" w:color="auto"/>
              <w:bottom w:val="nil"/>
              <w:right w:val="single" w:sz="6" w:space="0" w:color="auto"/>
            </w:tcBorders>
          </w:tcPr>
          <w:p w14:paraId="4D3C10D3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2139FB91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476EC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2.6.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2F7FB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Projekta rezultātu un to rādītāju novērtējums (precīzi definēti, izmērāmi, saistīti ar projekta mērķi un aktivitātēm, sasniedzami projekta ietvaros)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0D28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5ACFB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201824E5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4B01C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2.7.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4F21F" w14:textId="77777777" w:rsidR="001A2915" w:rsidRPr="00BB7D44" w:rsidRDefault="001A2915" w:rsidP="0049034F">
            <w:pPr>
              <w:jc w:val="both"/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Projekta izmaksu summa ir samērīga attiecībā pret projekta īstenošanas vietu un termiņu, veicamajām aktivi</w:t>
            </w:r>
            <w:r w:rsidR="00BB7D44" w:rsidRPr="001C2123">
              <w:rPr>
                <w:lang w:val="lv-LV"/>
              </w:rPr>
              <w:t>tātēm,</w:t>
            </w:r>
            <w:r w:rsidR="00BB7D44">
              <w:rPr>
                <w:lang w:val="lv-LV"/>
              </w:rPr>
              <w:t xml:space="preserve"> iesaistāmo mērķa grupu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61D5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B08A9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09844D00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C3570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2.8.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AF821" w14:textId="77777777" w:rsidR="001A2915" w:rsidRDefault="001A2915" w:rsidP="0049034F">
            <w:pPr>
              <w:rPr>
                <w:szCs w:val="22"/>
                <w:lang w:val="lv-LV"/>
              </w:rPr>
            </w:pPr>
            <w:r w:rsidRPr="001C2123">
              <w:rPr>
                <w:lang w:val="lv-LV"/>
              </w:rPr>
              <w:t>Projekta īstenošanas un administratīvā personāla pieredzes un zināšanu atbilstība projekta īstenošanai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E0026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  <w:r>
              <w:t>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89CCD" w14:textId="77777777" w:rsidR="001A2915" w:rsidRDefault="001A2915" w:rsidP="0049034F">
            <w:pPr>
              <w:jc w:val="center"/>
              <w:rPr>
                <w:szCs w:val="22"/>
                <w:lang w:val="lv-LV"/>
              </w:rPr>
            </w:pPr>
          </w:p>
        </w:tc>
      </w:tr>
      <w:tr w:rsidR="001A2915" w14:paraId="63379ECD" w14:textId="77777777" w:rsidTr="001A2915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ABB63" w14:textId="77777777" w:rsidR="001A2915" w:rsidRDefault="001A2915" w:rsidP="0049034F">
            <w:pPr>
              <w:rPr>
                <w:szCs w:val="22"/>
                <w:lang w:val="lv-LV"/>
              </w:rPr>
            </w:pPr>
            <w:r>
              <w:t> </w:t>
            </w:r>
          </w:p>
        </w:tc>
        <w:tc>
          <w:tcPr>
            <w:tcW w:w="3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39C41" w14:textId="77777777" w:rsidR="001A2915" w:rsidRDefault="001A2915" w:rsidP="0049034F">
            <w:pPr>
              <w:jc w:val="right"/>
              <w:rPr>
                <w:szCs w:val="22"/>
                <w:lang w:val="lv-LV"/>
              </w:rPr>
            </w:pPr>
            <w:proofErr w:type="spellStart"/>
            <w:r>
              <w:rPr>
                <w:b/>
                <w:bCs/>
              </w:rPr>
              <w:t>Maksimālais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punktu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skaits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kopā</w:t>
            </w:r>
            <w:proofErr w:type="spellEnd"/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E5AE7" w14:textId="77777777" w:rsidR="001A2915" w:rsidRDefault="001A2915" w:rsidP="0049034F">
            <w:pPr>
              <w:jc w:val="center"/>
              <w:rPr>
                <w:b/>
                <w:szCs w:val="22"/>
                <w:lang w:val="lv-LV"/>
              </w:rPr>
            </w:pPr>
            <w:r>
              <w:rPr>
                <w:b/>
              </w:rPr>
              <w:t>50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24256" w14:textId="77777777" w:rsidR="001A2915" w:rsidRDefault="001A2915" w:rsidP="0049034F">
            <w:pPr>
              <w:jc w:val="center"/>
              <w:rPr>
                <w:b/>
                <w:szCs w:val="22"/>
                <w:lang w:val="lv-LV"/>
              </w:rPr>
            </w:pPr>
          </w:p>
        </w:tc>
      </w:tr>
      <w:tr w:rsidR="001A2915" w14:paraId="0305B551" w14:textId="77777777" w:rsidTr="001A2915">
        <w:trPr>
          <w:trHeight w:val="814"/>
        </w:trPr>
        <w:tc>
          <w:tcPr>
            <w:tcW w:w="45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41C33" w14:textId="77777777" w:rsidR="001A2915" w:rsidRDefault="001A2915" w:rsidP="0049034F">
            <w:pPr>
              <w:jc w:val="both"/>
              <w:rPr>
                <w:rFonts w:eastAsia="Calibri"/>
                <w:szCs w:val="22"/>
                <w:lang w:val="lv-LV"/>
              </w:rPr>
            </w:pPr>
            <w:proofErr w:type="spellStart"/>
            <w:r>
              <w:rPr>
                <w:rFonts w:eastAsia="Calibri"/>
              </w:rPr>
              <w:t>Kvalitātes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kritērijus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vērtē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punktu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skalā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</w:t>
            </w:r>
            <w:proofErr w:type="spellEnd"/>
            <w:r>
              <w:rPr>
                <w:rFonts w:eastAsia="Calibri"/>
              </w:rPr>
              <w:t xml:space="preserve"> „1” </w:t>
            </w:r>
            <w:proofErr w:type="spellStart"/>
            <w:r>
              <w:rPr>
                <w:rFonts w:eastAsia="Calibri"/>
              </w:rPr>
              <w:t>līdz</w:t>
            </w:r>
            <w:proofErr w:type="spellEnd"/>
            <w:r>
              <w:rPr>
                <w:rFonts w:eastAsia="Calibri"/>
              </w:rPr>
              <w:t xml:space="preserve"> „5” </w:t>
            </w:r>
            <w:proofErr w:type="spellStart"/>
            <w:r>
              <w:rPr>
                <w:rFonts w:eastAsia="Calibri"/>
              </w:rPr>
              <w:t>atbilstoši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šādam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vērtējumam</w:t>
            </w:r>
            <w:proofErr w:type="spellEnd"/>
            <w:r>
              <w:rPr>
                <w:rFonts w:eastAsia="Calibri"/>
              </w:rPr>
              <w:t>: 5=</w:t>
            </w:r>
            <w:proofErr w:type="spellStart"/>
            <w:r>
              <w:rPr>
                <w:rFonts w:eastAsia="Calibri"/>
              </w:rPr>
              <w:t>ļoti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labi</w:t>
            </w:r>
            <w:proofErr w:type="spellEnd"/>
            <w:r>
              <w:rPr>
                <w:rFonts w:eastAsia="Calibri"/>
              </w:rPr>
              <w:t>; 4=</w:t>
            </w:r>
            <w:proofErr w:type="spellStart"/>
            <w:r>
              <w:rPr>
                <w:rFonts w:eastAsia="Calibri"/>
              </w:rPr>
              <w:t>labi</w:t>
            </w:r>
            <w:proofErr w:type="spellEnd"/>
            <w:r>
              <w:rPr>
                <w:rFonts w:eastAsia="Calibri"/>
              </w:rPr>
              <w:t>; 3=</w:t>
            </w:r>
            <w:proofErr w:type="spellStart"/>
            <w:r>
              <w:rPr>
                <w:rFonts w:eastAsia="Calibri"/>
              </w:rPr>
              <w:t>apmierinoši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neitrāli</w:t>
            </w:r>
            <w:proofErr w:type="spellEnd"/>
            <w:r>
              <w:rPr>
                <w:rFonts w:eastAsia="Calibri"/>
              </w:rPr>
              <w:t>; 2=</w:t>
            </w:r>
            <w:proofErr w:type="spellStart"/>
            <w:r>
              <w:rPr>
                <w:rFonts w:eastAsia="Calibri"/>
              </w:rPr>
              <w:t>vāji</w:t>
            </w:r>
            <w:proofErr w:type="spellEnd"/>
            <w:r>
              <w:rPr>
                <w:rFonts w:eastAsia="Calibri"/>
              </w:rPr>
              <w:t>; 1=</w:t>
            </w:r>
            <w:proofErr w:type="spellStart"/>
            <w:r>
              <w:rPr>
                <w:rFonts w:eastAsia="Calibri"/>
              </w:rPr>
              <w:t>ļoti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vāji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szCs w:val="28"/>
                <w:shd w:val="clear" w:color="auto" w:fill="FFFFFF"/>
              </w:rPr>
              <w:t>Ja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projekta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iesnieguma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vērtēšanas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procesā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vērtējumā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iegūti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mazāk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par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30 </w:t>
            </w:r>
            <w:proofErr w:type="spellStart"/>
            <w:r>
              <w:rPr>
                <w:szCs w:val="28"/>
                <w:shd w:val="clear" w:color="auto" w:fill="FFFFFF"/>
              </w:rPr>
              <w:t>punktiem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vai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kādā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no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kvalitātes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kritērijiem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ir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saņemts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vērtējums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kas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ir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zemāks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par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3 (</w:t>
            </w:r>
            <w:proofErr w:type="spellStart"/>
            <w:r>
              <w:rPr>
                <w:szCs w:val="28"/>
                <w:shd w:val="clear" w:color="auto" w:fill="FFFFFF"/>
              </w:rPr>
              <w:t>trīs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) </w:t>
            </w:r>
            <w:proofErr w:type="spellStart"/>
            <w:r>
              <w:rPr>
                <w:szCs w:val="28"/>
                <w:shd w:val="clear" w:color="auto" w:fill="FFFFFF"/>
              </w:rPr>
              <w:t>punktiem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vērtēšanas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komisija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sagatavo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lēmumu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par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projekta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iesnieguma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noraidīšanu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AC8C9" w14:textId="77777777" w:rsidR="001A2915" w:rsidRDefault="001A2915" w:rsidP="0049034F">
            <w:pPr>
              <w:jc w:val="both"/>
              <w:rPr>
                <w:rFonts w:eastAsia="Calibri"/>
                <w:szCs w:val="22"/>
                <w:lang w:val="lv-LV"/>
              </w:rPr>
            </w:pPr>
          </w:p>
        </w:tc>
      </w:tr>
    </w:tbl>
    <w:p w14:paraId="0D09A64B" w14:textId="77777777" w:rsidR="00391737" w:rsidRPr="006A5E1B" w:rsidRDefault="003D4C22" w:rsidP="003D4C22">
      <w:pPr>
        <w:ind w:right="-427"/>
        <w:rPr>
          <w:lang w:val="lv-LV"/>
        </w:rPr>
      </w:pPr>
      <w:bookmarkStart w:id="1" w:name="389610"/>
      <w:bookmarkStart w:id="2" w:name="piel2"/>
      <w:bookmarkEnd w:id="1"/>
      <w:bookmarkEnd w:id="2"/>
      <w:r>
        <w:rPr>
          <w:lang w:val="lv-LV"/>
        </w:rPr>
        <w:t xml:space="preserve"> </w:t>
      </w:r>
    </w:p>
    <w:sectPr w:rsidR="00391737" w:rsidRPr="006A5E1B" w:rsidSect="003D4C2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44E6" w14:textId="77777777" w:rsidR="00B55687" w:rsidRDefault="00B55687" w:rsidP="001A2915">
      <w:r>
        <w:separator/>
      </w:r>
    </w:p>
  </w:endnote>
  <w:endnote w:type="continuationSeparator" w:id="0">
    <w:p w14:paraId="24DCC234" w14:textId="77777777" w:rsidR="00B55687" w:rsidRDefault="00B55687" w:rsidP="001A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5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7A578" w14:textId="77777777" w:rsidR="003D4C22" w:rsidRDefault="003D4C22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8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A3B520" w14:textId="77777777" w:rsidR="003D4C22" w:rsidRDefault="003D4C2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03BC" w14:textId="77777777" w:rsidR="00B55687" w:rsidRDefault="00B55687" w:rsidP="001A2915">
      <w:r>
        <w:separator/>
      </w:r>
    </w:p>
  </w:footnote>
  <w:footnote w:type="continuationSeparator" w:id="0">
    <w:p w14:paraId="047BEF6F" w14:textId="77777777" w:rsidR="00B55687" w:rsidRDefault="00B55687" w:rsidP="001A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92D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4E340DA"/>
    <w:multiLevelType w:val="multilevel"/>
    <w:tmpl w:val="0E30AD02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160" w:hanging="720"/>
      </w:pPr>
    </w:lvl>
    <w:lvl w:ilvl="4">
      <w:numFmt w:val="bullet"/>
      <w:lvlText w:val="•"/>
      <w:lvlJc w:val="left"/>
      <w:pPr>
        <w:ind w:left="1540" w:hanging="720"/>
      </w:pPr>
    </w:lvl>
    <w:lvl w:ilvl="5">
      <w:numFmt w:val="bullet"/>
      <w:lvlText w:val="•"/>
      <w:lvlJc w:val="left"/>
      <w:pPr>
        <w:ind w:left="2877" w:hanging="720"/>
      </w:pPr>
    </w:lvl>
    <w:lvl w:ilvl="6">
      <w:numFmt w:val="bullet"/>
      <w:lvlText w:val="•"/>
      <w:lvlJc w:val="left"/>
      <w:pPr>
        <w:ind w:left="4215" w:hanging="720"/>
      </w:pPr>
    </w:lvl>
    <w:lvl w:ilvl="7">
      <w:numFmt w:val="bullet"/>
      <w:lvlText w:val="•"/>
      <w:lvlJc w:val="left"/>
      <w:pPr>
        <w:ind w:left="5553" w:hanging="720"/>
      </w:pPr>
    </w:lvl>
    <w:lvl w:ilvl="8">
      <w:numFmt w:val="bullet"/>
      <w:lvlText w:val="•"/>
      <w:lvlJc w:val="left"/>
      <w:pPr>
        <w:ind w:left="6890" w:hanging="720"/>
      </w:pPr>
    </w:lvl>
  </w:abstractNum>
  <w:abstractNum w:abstractNumId="2" w15:restartNumberingAfterBreak="0">
    <w:nsid w:val="2DAE3A2D"/>
    <w:multiLevelType w:val="multilevel"/>
    <w:tmpl w:val="0E30AD02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160" w:hanging="720"/>
      </w:pPr>
    </w:lvl>
    <w:lvl w:ilvl="4">
      <w:numFmt w:val="bullet"/>
      <w:lvlText w:val="•"/>
      <w:lvlJc w:val="left"/>
      <w:pPr>
        <w:ind w:left="1540" w:hanging="720"/>
      </w:pPr>
    </w:lvl>
    <w:lvl w:ilvl="5">
      <w:numFmt w:val="bullet"/>
      <w:lvlText w:val="•"/>
      <w:lvlJc w:val="left"/>
      <w:pPr>
        <w:ind w:left="2877" w:hanging="720"/>
      </w:pPr>
    </w:lvl>
    <w:lvl w:ilvl="6">
      <w:numFmt w:val="bullet"/>
      <w:lvlText w:val="•"/>
      <w:lvlJc w:val="left"/>
      <w:pPr>
        <w:ind w:left="4215" w:hanging="720"/>
      </w:pPr>
    </w:lvl>
    <w:lvl w:ilvl="7">
      <w:numFmt w:val="bullet"/>
      <w:lvlText w:val="•"/>
      <w:lvlJc w:val="left"/>
      <w:pPr>
        <w:ind w:left="5553" w:hanging="720"/>
      </w:pPr>
    </w:lvl>
    <w:lvl w:ilvl="8">
      <w:numFmt w:val="bullet"/>
      <w:lvlText w:val="•"/>
      <w:lvlJc w:val="left"/>
      <w:pPr>
        <w:ind w:left="6890" w:hanging="720"/>
      </w:pPr>
    </w:lvl>
  </w:abstractNum>
  <w:abstractNum w:abstractNumId="3" w15:restartNumberingAfterBreak="0">
    <w:nsid w:val="2E2C7C00"/>
    <w:multiLevelType w:val="hybridMultilevel"/>
    <w:tmpl w:val="A67C5F86"/>
    <w:lvl w:ilvl="0" w:tplc="80DE5D6C">
      <w:start w:val="1"/>
      <w:numFmt w:val="decimal"/>
      <w:lvlText w:val="%1."/>
      <w:lvlJc w:val="left"/>
      <w:pPr>
        <w:ind w:left="720" w:hanging="360"/>
      </w:pPr>
    </w:lvl>
    <w:lvl w:ilvl="1" w:tplc="8C34378C" w:tentative="1">
      <w:start w:val="1"/>
      <w:numFmt w:val="lowerLetter"/>
      <w:lvlText w:val="%2."/>
      <w:lvlJc w:val="left"/>
      <w:pPr>
        <w:ind w:left="1440" w:hanging="360"/>
      </w:pPr>
    </w:lvl>
    <w:lvl w:ilvl="2" w:tplc="481E1410" w:tentative="1">
      <w:start w:val="1"/>
      <w:numFmt w:val="lowerRoman"/>
      <w:lvlText w:val="%3."/>
      <w:lvlJc w:val="right"/>
      <w:pPr>
        <w:ind w:left="2160" w:hanging="180"/>
      </w:pPr>
    </w:lvl>
    <w:lvl w:ilvl="3" w:tplc="F402B46C" w:tentative="1">
      <w:start w:val="1"/>
      <w:numFmt w:val="decimal"/>
      <w:lvlText w:val="%4."/>
      <w:lvlJc w:val="left"/>
      <w:pPr>
        <w:ind w:left="2880" w:hanging="360"/>
      </w:pPr>
    </w:lvl>
    <w:lvl w:ilvl="4" w:tplc="2C8095C8" w:tentative="1">
      <w:start w:val="1"/>
      <w:numFmt w:val="lowerLetter"/>
      <w:lvlText w:val="%5."/>
      <w:lvlJc w:val="left"/>
      <w:pPr>
        <w:ind w:left="3600" w:hanging="360"/>
      </w:pPr>
    </w:lvl>
    <w:lvl w:ilvl="5" w:tplc="A4C0EDE0" w:tentative="1">
      <w:start w:val="1"/>
      <w:numFmt w:val="lowerRoman"/>
      <w:lvlText w:val="%6."/>
      <w:lvlJc w:val="right"/>
      <w:pPr>
        <w:ind w:left="4320" w:hanging="180"/>
      </w:pPr>
    </w:lvl>
    <w:lvl w:ilvl="6" w:tplc="71D210E6" w:tentative="1">
      <w:start w:val="1"/>
      <w:numFmt w:val="decimal"/>
      <w:lvlText w:val="%7."/>
      <w:lvlJc w:val="left"/>
      <w:pPr>
        <w:ind w:left="5040" w:hanging="360"/>
      </w:pPr>
    </w:lvl>
    <w:lvl w:ilvl="7" w:tplc="A5C05B7C" w:tentative="1">
      <w:start w:val="1"/>
      <w:numFmt w:val="lowerLetter"/>
      <w:lvlText w:val="%8."/>
      <w:lvlJc w:val="left"/>
      <w:pPr>
        <w:ind w:left="5760" w:hanging="360"/>
      </w:pPr>
    </w:lvl>
    <w:lvl w:ilvl="8" w:tplc="0F2C4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742"/>
    <w:multiLevelType w:val="hybridMultilevel"/>
    <w:tmpl w:val="CE983E8E"/>
    <w:lvl w:ilvl="0" w:tplc="EAF41EE4">
      <w:start w:val="1"/>
      <w:numFmt w:val="decimal"/>
      <w:lvlText w:val="%1."/>
      <w:lvlJc w:val="left"/>
      <w:pPr>
        <w:ind w:left="720" w:hanging="360"/>
      </w:pPr>
    </w:lvl>
    <w:lvl w:ilvl="1" w:tplc="56128466" w:tentative="1">
      <w:start w:val="1"/>
      <w:numFmt w:val="lowerLetter"/>
      <w:lvlText w:val="%2."/>
      <w:lvlJc w:val="left"/>
      <w:pPr>
        <w:ind w:left="1440" w:hanging="360"/>
      </w:pPr>
    </w:lvl>
    <w:lvl w:ilvl="2" w:tplc="9B6A9A6C" w:tentative="1">
      <w:start w:val="1"/>
      <w:numFmt w:val="lowerRoman"/>
      <w:lvlText w:val="%3."/>
      <w:lvlJc w:val="right"/>
      <w:pPr>
        <w:ind w:left="2160" w:hanging="180"/>
      </w:pPr>
    </w:lvl>
    <w:lvl w:ilvl="3" w:tplc="B0C62698" w:tentative="1">
      <w:start w:val="1"/>
      <w:numFmt w:val="decimal"/>
      <w:lvlText w:val="%4."/>
      <w:lvlJc w:val="left"/>
      <w:pPr>
        <w:ind w:left="2880" w:hanging="360"/>
      </w:pPr>
    </w:lvl>
    <w:lvl w:ilvl="4" w:tplc="194606BE" w:tentative="1">
      <w:start w:val="1"/>
      <w:numFmt w:val="lowerLetter"/>
      <w:lvlText w:val="%5."/>
      <w:lvlJc w:val="left"/>
      <w:pPr>
        <w:ind w:left="3600" w:hanging="360"/>
      </w:pPr>
    </w:lvl>
    <w:lvl w:ilvl="5" w:tplc="021C4CDC" w:tentative="1">
      <w:start w:val="1"/>
      <w:numFmt w:val="lowerRoman"/>
      <w:lvlText w:val="%6."/>
      <w:lvlJc w:val="right"/>
      <w:pPr>
        <w:ind w:left="4320" w:hanging="180"/>
      </w:pPr>
    </w:lvl>
    <w:lvl w:ilvl="6" w:tplc="06DC7FFC" w:tentative="1">
      <w:start w:val="1"/>
      <w:numFmt w:val="decimal"/>
      <w:lvlText w:val="%7."/>
      <w:lvlJc w:val="left"/>
      <w:pPr>
        <w:ind w:left="5040" w:hanging="360"/>
      </w:pPr>
    </w:lvl>
    <w:lvl w:ilvl="7" w:tplc="7E52AD32" w:tentative="1">
      <w:start w:val="1"/>
      <w:numFmt w:val="lowerLetter"/>
      <w:lvlText w:val="%8."/>
      <w:lvlJc w:val="left"/>
      <w:pPr>
        <w:ind w:left="5760" w:hanging="360"/>
      </w:pPr>
    </w:lvl>
    <w:lvl w:ilvl="8" w:tplc="FD1E1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493A"/>
    <w:multiLevelType w:val="hybridMultilevel"/>
    <w:tmpl w:val="DBD07C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D0519"/>
    <w:multiLevelType w:val="multilevel"/>
    <w:tmpl w:val="EB081C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1F741A"/>
    <w:multiLevelType w:val="multilevel"/>
    <w:tmpl w:val="F97234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B9971BC"/>
    <w:multiLevelType w:val="hybridMultilevel"/>
    <w:tmpl w:val="02245BAC"/>
    <w:lvl w:ilvl="0" w:tplc="A3EAED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5CF046" w:tentative="1">
      <w:start w:val="1"/>
      <w:numFmt w:val="lowerLetter"/>
      <w:lvlText w:val="%2."/>
      <w:lvlJc w:val="left"/>
      <w:pPr>
        <w:ind w:left="1440" w:hanging="360"/>
      </w:pPr>
    </w:lvl>
    <w:lvl w:ilvl="2" w:tplc="59F6838C" w:tentative="1">
      <w:start w:val="1"/>
      <w:numFmt w:val="lowerRoman"/>
      <w:lvlText w:val="%3."/>
      <w:lvlJc w:val="right"/>
      <w:pPr>
        <w:ind w:left="2160" w:hanging="180"/>
      </w:pPr>
    </w:lvl>
    <w:lvl w:ilvl="3" w:tplc="F920F9AE" w:tentative="1">
      <w:start w:val="1"/>
      <w:numFmt w:val="decimal"/>
      <w:lvlText w:val="%4."/>
      <w:lvlJc w:val="left"/>
      <w:pPr>
        <w:ind w:left="2880" w:hanging="360"/>
      </w:pPr>
    </w:lvl>
    <w:lvl w:ilvl="4" w:tplc="12F6DCC8" w:tentative="1">
      <w:start w:val="1"/>
      <w:numFmt w:val="lowerLetter"/>
      <w:lvlText w:val="%5."/>
      <w:lvlJc w:val="left"/>
      <w:pPr>
        <w:ind w:left="3600" w:hanging="360"/>
      </w:pPr>
    </w:lvl>
    <w:lvl w:ilvl="5" w:tplc="A346503C" w:tentative="1">
      <w:start w:val="1"/>
      <w:numFmt w:val="lowerRoman"/>
      <w:lvlText w:val="%6."/>
      <w:lvlJc w:val="right"/>
      <w:pPr>
        <w:ind w:left="4320" w:hanging="180"/>
      </w:pPr>
    </w:lvl>
    <w:lvl w:ilvl="6" w:tplc="9CB6A390" w:tentative="1">
      <w:start w:val="1"/>
      <w:numFmt w:val="decimal"/>
      <w:lvlText w:val="%7."/>
      <w:lvlJc w:val="left"/>
      <w:pPr>
        <w:ind w:left="5040" w:hanging="360"/>
      </w:pPr>
    </w:lvl>
    <w:lvl w:ilvl="7" w:tplc="68DAF7B0" w:tentative="1">
      <w:start w:val="1"/>
      <w:numFmt w:val="lowerLetter"/>
      <w:lvlText w:val="%8."/>
      <w:lvlJc w:val="left"/>
      <w:pPr>
        <w:ind w:left="5760" w:hanging="360"/>
      </w:pPr>
    </w:lvl>
    <w:lvl w:ilvl="8" w:tplc="A150E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83066"/>
    <w:multiLevelType w:val="hybridMultilevel"/>
    <w:tmpl w:val="D3A294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70845"/>
    <w:multiLevelType w:val="hybridMultilevel"/>
    <w:tmpl w:val="77D22A92"/>
    <w:lvl w:ilvl="0" w:tplc="A0C08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6BCA67C" w:tentative="1">
      <w:start w:val="1"/>
      <w:numFmt w:val="lowerLetter"/>
      <w:lvlText w:val="%2."/>
      <w:lvlJc w:val="left"/>
      <w:pPr>
        <w:ind w:left="1800" w:hanging="360"/>
      </w:pPr>
    </w:lvl>
    <w:lvl w:ilvl="2" w:tplc="549EB11A" w:tentative="1">
      <w:start w:val="1"/>
      <w:numFmt w:val="lowerRoman"/>
      <w:lvlText w:val="%3."/>
      <w:lvlJc w:val="right"/>
      <w:pPr>
        <w:ind w:left="2520" w:hanging="180"/>
      </w:pPr>
    </w:lvl>
    <w:lvl w:ilvl="3" w:tplc="B9884E16" w:tentative="1">
      <w:start w:val="1"/>
      <w:numFmt w:val="decimal"/>
      <w:lvlText w:val="%4."/>
      <w:lvlJc w:val="left"/>
      <w:pPr>
        <w:ind w:left="3240" w:hanging="360"/>
      </w:pPr>
    </w:lvl>
    <w:lvl w:ilvl="4" w:tplc="30BCF98E" w:tentative="1">
      <w:start w:val="1"/>
      <w:numFmt w:val="lowerLetter"/>
      <w:lvlText w:val="%5."/>
      <w:lvlJc w:val="left"/>
      <w:pPr>
        <w:ind w:left="3960" w:hanging="360"/>
      </w:pPr>
    </w:lvl>
    <w:lvl w:ilvl="5" w:tplc="63029854" w:tentative="1">
      <w:start w:val="1"/>
      <w:numFmt w:val="lowerRoman"/>
      <w:lvlText w:val="%6."/>
      <w:lvlJc w:val="right"/>
      <w:pPr>
        <w:ind w:left="4680" w:hanging="180"/>
      </w:pPr>
    </w:lvl>
    <w:lvl w:ilvl="6" w:tplc="4B02213C" w:tentative="1">
      <w:start w:val="1"/>
      <w:numFmt w:val="decimal"/>
      <w:lvlText w:val="%7."/>
      <w:lvlJc w:val="left"/>
      <w:pPr>
        <w:ind w:left="5400" w:hanging="360"/>
      </w:pPr>
    </w:lvl>
    <w:lvl w:ilvl="7" w:tplc="4D9478B4" w:tentative="1">
      <w:start w:val="1"/>
      <w:numFmt w:val="lowerLetter"/>
      <w:lvlText w:val="%8."/>
      <w:lvlJc w:val="left"/>
      <w:pPr>
        <w:ind w:left="6120" w:hanging="360"/>
      </w:pPr>
    </w:lvl>
    <w:lvl w:ilvl="8" w:tplc="FFB44F4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1393524">
    <w:abstractNumId w:val="10"/>
  </w:num>
  <w:num w:numId="2" w16cid:durableId="624700091">
    <w:abstractNumId w:val="3"/>
  </w:num>
  <w:num w:numId="3" w16cid:durableId="721096114">
    <w:abstractNumId w:val="4"/>
  </w:num>
  <w:num w:numId="4" w16cid:durableId="909005410">
    <w:abstractNumId w:val="7"/>
  </w:num>
  <w:num w:numId="5" w16cid:durableId="342782781">
    <w:abstractNumId w:val="8"/>
  </w:num>
  <w:num w:numId="6" w16cid:durableId="758986903">
    <w:abstractNumId w:val="6"/>
  </w:num>
  <w:num w:numId="7" w16cid:durableId="476188112">
    <w:abstractNumId w:val="0"/>
  </w:num>
  <w:num w:numId="8" w16cid:durableId="1287472167">
    <w:abstractNumId w:val="9"/>
  </w:num>
  <w:num w:numId="9" w16cid:durableId="1344014912">
    <w:abstractNumId w:val="2"/>
  </w:num>
  <w:num w:numId="10" w16cid:durableId="31657674">
    <w:abstractNumId w:val="1"/>
  </w:num>
  <w:num w:numId="11" w16cid:durableId="1949699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020AA"/>
    <w:rsid w:val="0000413A"/>
    <w:rsid w:val="00041F18"/>
    <w:rsid w:val="00070C4B"/>
    <w:rsid w:val="00082687"/>
    <w:rsid w:val="00103270"/>
    <w:rsid w:val="00112CF5"/>
    <w:rsid w:val="00132B4B"/>
    <w:rsid w:val="00142453"/>
    <w:rsid w:val="001A2915"/>
    <w:rsid w:val="001C2123"/>
    <w:rsid w:val="001D11B4"/>
    <w:rsid w:val="001F006F"/>
    <w:rsid w:val="002978FA"/>
    <w:rsid w:val="002B42DB"/>
    <w:rsid w:val="002C5727"/>
    <w:rsid w:val="002D0A84"/>
    <w:rsid w:val="00344834"/>
    <w:rsid w:val="003852D4"/>
    <w:rsid w:val="00390204"/>
    <w:rsid w:val="00391737"/>
    <w:rsid w:val="003A660F"/>
    <w:rsid w:val="003D2E88"/>
    <w:rsid w:val="003D4C22"/>
    <w:rsid w:val="003D6C75"/>
    <w:rsid w:val="0046298C"/>
    <w:rsid w:val="0049034F"/>
    <w:rsid w:val="004B0657"/>
    <w:rsid w:val="004F7AA7"/>
    <w:rsid w:val="00576C82"/>
    <w:rsid w:val="005B10DA"/>
    <w:rsid w:val="005F585C"/>
    <w:rsid w:val="00633FE0"/>
    <w:rsid w:val="00636C5D"/>
    <w:rsid w:val="006534D4"/>
    <w:rsid w:val="006A1DD7"/>
    <w:rsid w:val="006A5E1B"/>
    <w:rsid w:val="006C3FEB"/>
    <w:rsid w:val="006E0D32"/>
    <w:rsid w:val="00786B48"/>
    <w:rsid w:val="007C47B4"/>
    <w:rsid w:val="00811EA4"/>
    <w:rsid w:val="00823FE5"/>
    <w:rsid w:val="00861099"/>
    <w:rsid w:val="008666A4"/>
    <w:rsid w:val="0088401F"/>
    <w:rsid w:val="008C10C0"/>
    <w:rsid w:val="00915287"/>
    <w:rsid w:val="00932FAF"/>
    <w:rsid w:val="009352CA"/>
    <w:rsid w:val="00941DFD"/>
    <w:rsid w:val="009A0477"/>
    <w:rsid w:val="009B35EC"/>
    <w:rsid w:val="009B514C"/>
    <w:rsid w:val="00A01AE3"/>
    <w:rsid w:val="00A05314"/>
    <w:rsid w:val="00A106EC"/>
    <w:rsid w:val="00A2398A"/>
    <w:rsid w:val="00A278AD"/>
    <w:rsid w:val="00A35C1A"/>
    <w:rsid w:val="00A4517A"/>
    <w:rsid w:val="00AA3543"/>
    <w:rsid w:val="00B0429F"/>
    <w:rsid w:val="00B2769A"/>
    <w:rsid w:val="00B35A4A"/>
    <w:rsid w:val="00B45440"/>
    <w:rsid w:val="00B55687"/>
    <w:rsid w:val="00BB7D44"/>
    <w:rsid w:val="00BC1B30"/>
    <w:rsid w:val="00BD095C"/>
    <w:rsid w:val="00BD390D"/>
    <w:rsid w:val="00C30265"/>
    <w:rsid w:val="00C33776"/>
    <w:rsid w:val="00C65765"/>
    <w:rsid w:val="00C74BD1"/>
    <w:rsid w:val="00C82564"/>
    <w:rsid w:val="00C9360B"/>
    <w:rsid w:val="00CA4F06"/>
    <w:rsid w:val="00CA78F4"/>
    <w:rsid w:val="00D82066"/>
    <w:rsid w:val="00E83561"/>
    <w:rsid w:val="00E96A38"/>
    <w:rsid w:val="00E97168"/>
    <w:rsid w:val="00F1286F"/>
    <w:rsid w:val="00F37D91"/>
    <w:rsid w:val="00F576A6"/>
    <w:rsid w:val="00F7092F"/>
    <w:rsid w:val="00FA1DC8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61E5"/>
  <w15:docId w15:val="{794F6D5F-2F66-425D-89B7-D404D7D5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5B10D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4544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5440"/>
    <w:rPr>
      <w:rFonts w:ascii="Tahoma" w:eastAsia="Times New Roman" w:hAnsi="Tahoma" w:cs="Tahoma"/>
      <w:sz w:val="16"/>
      <w:szCs w:val="16"/>
      <w:lang w:val="ru-RU" w:eastAsia="lv-LV"/>
    </w:rPr>
  </w:style>
  <w:style w:type="paragraph" w:customStyle="1" w:styleId="Default">
    <w:name w:val="Default"/>
    <w:rsid w:val="00B4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1A2915"/>
    <w:rPr>
      <w:color w:val="0563C1" w:themeColor="hyperlink"/>
      <w:u w:val="single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semiHidden/>
    <w:locked/>
    <w:rsid w:val="001A291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Vresteksts">
    <w:name w:val="footnote text"/>
    <w:aliases w:val="Footnote,Fußnote"/>
    <w:basedOn w:val="Parasts"/>
    <w:link w:val="VrestekstsRakstz"/>
    <w:uiPriority w:val="99"/>
    <w:semiHidden/>
    <w:unhideWhenUsed/>
    <w:rsid w:val="001A2915"/>
    <w:rPr>
      <w:sz w:val="20"/>
      <w:szCs w:val="20"/>
      <w:lang w:val="x-none"/>
    </w:rPr>
  </w:style>
  <w:style w:type="character" w:customStyle="1" w:styleId="FootnoteTextChar1">
    <w:name w:val="Footnote Text Char1"/>
    <w:basedOn w:val="Noklusjumarindkopasfonts"/>
    <w:uiPriority w:val="99"/>
    <w:semiHidden/>
    <w:rsid w:val="001A2915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Vresatsauce">
    <w:name w:val="footnote reference"/>
    <w:uiPriority w:val="99"/>
    <w:semiHidden/>
    <w:unhideWhenUsed/>
    <w:rsid w:val="001A2915"/>
    <w:rPr>
      <w:vertAlign w:val="superscript"/>
    </w:r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390204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Galvene">
    <w:name w:val="header"/>
    <w:basedOn w:val="Parasts"/>
    <w:link w:val="GalveneRakstz"/>
    <w:uiPriority w:val="99"/>
    <w:unhideWhenUsed/>
    <w:rsid w:val="003D4C2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D4C22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Kjene">
    <w:name w:val="footer"/>
    <w:basedOn w:val="Parasts"/>
    <w:link w:val="KjeneRakstz"/>
    <w:uiPriority w:val="99"/>
    <w:unhideWhenUsed/>
    <w:rsid w:val="003D4C2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4C22"/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9DF5-CA8E-48E4-89E3-6C5A0958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2942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Bauvare</dc:creator>
  <cp:lastModifiedBy>Bauskas Novads</cp:lastModifiedBy>
  <cp:revision>8</cp:revision>
  <cp:lastPrinted>2021-06-29T06:21:00Z</cp:lastPrinted>
  <dcterms:created xsi:type="dcterms:W3CDTF">2022-05-11T08:12:00Z</dcterms:created>
  <dcterms:modified xsi:type="dcterms:W3CDTF">2023-06-16T08:32:00Z</dcterms:modified>
</cp:coreProperties>
</file>