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6F1C" w14:textId="77777777" w:rsidR="00E11163" w:rsidRPr="006173F9" w:rsidRDefault="00E11163" w:rsidP="00E1116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73F9">
        <w:rPr>
          <w:rFonts w:ascii="Times New Roman" w:hAnsi="Times New Roman"/>
          <w:b/>
          <w:color w:val="000000" w:themeColor="text1"/>
          <w:sz w:val="24"/>
          <w:szCs w:val="24"/>
        </w:rPr>
        <w:t>2.pielikums</w:t>
      </w:r>
    </w:p>
    <w:p w14:paraId="5CA47749" w14:textId="77777777" w:rsidR="00E11163" w:rsidRPr="006173F9" w:rsidRDefault="00E11163" w:rsidP="00E111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73F9">
        <w:rPr>
          <w:rFonts w:ascii="Times New Roman" w:hAnsi="Times New Roman"/>
          <w:b/>
          <w:color w:val="000000" w:themeColor="text1"/>
          <w:sz w:val="24"/>
          <w:szCs w:val="24"/>
        </w:rPr>
        <w:t>FINANŠU PIEDĀVĀJUMS</w:t>
      </w:r>
    </w:p>
    <w:p w14:paraId="2C811DDD" w14:textId="77777777" w:rsidR="00E11163" w:rsidRPr="006173F9" w:rsidRDefault="00E11163" w:rsidP="00E11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3F9">
        <w:rPr>
          <w:rFonts w:ascii="Times New Roman" w:hAnsi="Times New Roman"/>
          <w:b/>
          <w:sz w:val="24"/>
          <w:szCs w:val="24"/>
        </w:rPr>
        <w:t>Suvenīru granulu piegāde Vecumnieku apvienības pārvaldes vajadzībām</w:t>
      </w:r>
    </w:p>
    <w:p w14:paraId="706361CD" w14:textId="77777777" w:rsidR="00E11163" w:rsidRPr="006173F9" w:rsidRDefault="00E11163" w:rsidP="00E1116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6173F9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6173F9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173F9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tbl>
      <w:tblPr>
        <w:tblW w:w="14743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11329"/>
      </w:tblGrid>
      <w:tr w:rsidR="00E11163" w:rsidRPr="006173F9" w14:paraId="7230A8B3" w14:textId="77777777" w:rsidTr="005B43AA">
        <w:trPr>
          <w:cantSplit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ABF05B" w14:textId="77777777" w:rsidR="00E11163" w:rsidRPr="006173F9" w:rsidRDefault="00E11163" w:rsidP="005B43AA">
            <w:pPr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E11163" w:rsidRPr="006173F9" w14:paraId="291A807B" w14:textId="77777777" w:rsidTr="005B43AA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4FC4CC78" w14:textId="77777777" w:rsidR="00E11163" w:rsidRPr="006173F9" w:rsidRDefault="00E11163" w:rsidP="005B43A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4BE4F1BB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1B4470CC" w14:textId="77777777" w:rsidTr="005B43AA">
        <w:trPr>
          <w:cantSplit/>
        </w:trPr>
        <w:tc>
          <w:tcPr>
            <w:tcW w:w="3414" w:type="dxa"/>
            <w:gridSpan w:val="2"/>
          </w:tcPr>
          <w:p w14:paraId="78BFB796" w14:textId="77777777" w:rsidR="00E11163" w:rsidRPr="006173F9" w:rsidRDefault="00E11163" w:rsidP="005B43AA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3F9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6DF2EB94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533E5A18" w14:textId="77777777" w:rsidTr="005B43AA">
        <w:trPr>
          <w:cantSplit/>
        </w:trPr>
        <w:tc>
          <w:tcPr>
            <w:tcW w:w="3414" w:type="dxa"/>
            <w:gridSpan w:val="2"/>
          </w:tcPr>
          <w:p w14:paraId="2BA80878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11329" w:type="dxa"/>
            <w:tcBorders>
              <w:bottom w:val="single" w:sz="4" w:space="0" w:color="auto"/>
            </w:tcBorders>
          </w:tcPr>
          <w:p w14:paraId="6859AC92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66D2554B" w14:textId="77777777" w:rsidTr="005B43AA">
        <w:trPr>
          <w:cantSplit/>
        </w:trPr>
        <w:tc>
          <w:tcPr>
            <w:tcW w:w="3414" w:type="dxa"/>
            <w:gridSpan w:val="2"/>
          </w:tcPr>
          <w:p w14:paraId="1A132AA1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6C572925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7D07D097" w14:textId="77777777" w:rsidTr="005B43AA">
        <w:trPr>
          <w:cantSplit/>
        </w:trPr>
        <w:tc>
          <w:tcPr>
            <w:tcW w:w="3414" w:type="dxa"/>
            <w:gridSpan w:val="2"/>
          </w:tcPr>
          <w:p w14:paraId="2E1F0AF8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</w:tcPr>
          <w:p w14:paraId="77F49512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361EEF8F" w14:textId="77777777" w:rsidTr="005B43AA">
        <w:trPr>
          <w:cantSplit/>
        </w:trPr>
        <w:tc>
          <w:tcPr>
            <w:tcW w:w="3414" w:type="dxa"/>
            <w:gridSpan w:val="2"/>
          </w:tcPr>
          <w:p w14:paraId="2FDA3734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11329" w:type="dxa"/>
            <w:tcBorders>
              <w:bottom w:val="single" w:sz="4" w:space="0" w:color="auto"/>
            </w:tcBorders>
          </w:tcPr>
          <w:p w14:paraId="61849397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45D4D248" w14:textId="77777777" w:rsidTr="005B43AA">
        <w:trPr>
          <w:cantSplit/>
        </w:trPr>
        <w:tc>
          <w:tcPr>
            <w:tcW w:w="3414" w:type="dxa"/>
            <w:gridSpan w:val="2"/>
          </w:tcPr>
          <w:p w14:paraId="5BD90369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11329" w:type="dxa"/>
            <w:tcBorders>
              <w:bottom w:val="single" w:sz="4" w:space="0" w:color="auto"/>
            </w:tcBorders>
          </w:tcPr>
          <w:p w14:paraId="2F64B168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6A997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17B08F35" w14:textId="77777777" w:rsidTr="005B43AA">
        <w:trPr>
          <w:cantSplit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93F87D" w14:textId="77777777" w:rsidR="00E11163" w:rsidRPr="006173F9" w:rsidRDefault="00E11163" w:rsidP="005B43A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E11163" w:rsidRPr="006173F9" w14:paraId="7530FC8A" w14:textId="77777777" w:rsidTr="005B43AA">
        <w:trPr>
          <w:cantSplit/>
        </w:trPr>
        <w:tc>
          <w:tcPr>
            <w:tcW w:w="2189" w:type="dxa"/>
          </w:tcPr>
          <w:p w14:paraId="6B7295C7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12554" w:type="dxa"/>
            <w:gridSpan w:val="2"/>
            <w:tcBorders>
              <w:bottom w:val="single" w:sz="4" w:space="0" w:color="auto"/>
            </w:tcBorders>
          </w:tcPr>
          <w:p w14:paraId="25E8F5F8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3F9CB560" w14:textId="77777777" w:rsidTr="005B43AA">
        <w:trPr>
          <w:cantSplit/>
        </w:trPr>
        <w:tc>
          <w:tcPr>
            <w:tcW w:w="2189" w:type="dxa"/>
          </w:tcPr>
          <w:p w14:paraId="735524FA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1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88BEC" w14:textId="77777777" w:rsidR="00E11163" w:rsidRPr="006173F9" w:rsidRDefault="00E11163" w:rsidP="005B43A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1163" w:rsidRPr="006173F9" w14:paraId="2D43A14E" w14:textId="77777777" w:rsidTr="005B43AA">
        <w:trPr>
          <w:cantSplit/>
        </w:trPr>
        <w:tc>
          <w:tcPr>
            <w:tcW w:w="2189" w:type="dxa"/>
          </w:tcPr>
          <w:p w14:paraId="79E6F924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0CF0B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63" w:rsidRPr="006173F9" w14:paraId="06D79A56" w14:textId="77777777" w:rsidTr="005B43AA">
        <w:trPr>
          <w:cantSplit/>
        </w:trPr>
        <w:tc>
          <w:tcPr>
            <w:tcW w:w="2189" w:type="dxa"/>
          </w:tcPr>
          <w:p w14:paraId="168FEBAE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F9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12554" w:type="dxa"/>
            <w:gridSpan w:val="2"/>
            <w:tcBorders>
              <w:bottom w:val="single" w:sz="4" w:space="0" w:color="auto"/>
            </w:tcBorders>
          </w:tcPr>
          <w:p w14:paraId="2A512A7C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488D11" w14:textId="77777777" w:rsidR="00E11163" w:rsidRPr="006173F9" w:rsidRDefault="00E11163" w:rsidP="00E11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73F9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6173F9">
        <w:rPr>
          <w:rFonts w:ascii="Times New Roman" w:hAnsi="Times New Roman"/>
          <w:b/>
          <w:sz w:val="24"/>
          <w:szCs w:val="24"/>
        </w:rPr>
        <w:t>Suvenīru piegāde Vecumnieku apvienības pārvaldes vajadzībām</w:t>
      </w:r>
      <w:r w:rsidRPr="006173F9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6173F9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173F9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6173F9">
        <w:rPr>
          <w:rFonts w:ascii="Times New Roman" w:eastAsia="Times New Roman" w:hAnsi="Times New Roman"/>
          <w:b/>
          <w:sz w:val="24"/>
          <w:szCs w:val="24"/>
        </w:rPr>
        <w:t>,</w:t>
      </w:r>
      <w:r w:rsidRPr="006173F9">
        <w:rPr>
          <w:rFonts w:ascii="Times New Roman" w:hAnsi="Times New Roman"/>
          <w:sz w:val="24"/>
          <w:szCs w:val="24"/>
        </w:rPr>
        <w:t xml:space="preserve"> </w:t>
      </w:r>
      <w:r w:rsidRPr="006173F9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p w14:paraId="32588504" w14:textId="77777777" w:rsidR="00E11163" w:rsidRPr="006173F9" w:rsidRDefault="00E11163" w:rsidP="00E11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"/>
        <w:tblW w:w="14459" w:type="dxa"/>
        <w:tblInd w:w="137" w:type="dxa"/>
        <w:tblLook w:val="04A0" w:firstRow="1" w:lastRow="0" w:firstColumn="1" w:lastColumn="0" w:noHBand="0" w:noVBand="1"/>
      </w:tblPr>
      <w:tblGrid>
        <w:gridCol w:w="984"/>
        <w:gridCol w:w="2276"/>
        <w:gridCol w:w="1134"/>
        <w:gridCol w:w="1701"/>
        <w:gridCol w:w="2268"/>
        <w:gridCol w:w="6096"/>
      </w:tblGrid>
      <w:tr w:rsidR="00E11163" w:rsidRPr="006173F9" w14:paraId="3C08106B" w14:textId="77777777" w:rsidTr="005B43AA">
        <w:tc>
          <w:tcPr>
            <w:tcW w:w="984" w:type="dxa"/>
          </w:tcPr>
          <w:p w14:paraId="08F3BB01" w14:textId="77777777" w:rsidR="00E11163" w:rsidRPr="006173F9" w:rsidRDefault="00E11163" w:rsidP="005B4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14:paraId="0959D2F5" w14:textId="77777777" w:rsidR="00E11163" w:rsidRPr="006173F9" w:rsidRDefault="00E11163" w:rsidP="005B4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Prece saskaņā ar tehnisko specifikāciju</w:t>
            </w:r>
          </w:p>
        </w:tc>
        <w:tc>
          <w:tcPr>
            <w:tcW w:w="1134" w:type="dxa"/>
          </w:tcPr>
          <w:p w14:paraId="55FEC051" w14:textId="77777777" w:rsidR="00E11163" w:rsidRPr="006173F9" w:rsidRDefault="00E11163" w:rsidP="005B4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Skaits, gab.</w:t>
            </w:r>
          </w:p>
        </w:tc>
        <w:tc>
          <w:tcPr>
            <w:tcW w:w="1701" w:type="dxa"/>
          </w:tcPr>
          <w:p w14:paraId="2924CFEC" w14:textId="77777777" w:rsidR="00E11163" w:rsidRPr="006173F9" w:rsidRDefault="00E11163" w:rsidP="005B4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Vienas vienības cena, EUR bez PVN</w:t>
            </w:r>
          </w:p>
        </w:tc>
        <w:tc>
          <w:tcPr>
            <w:tcW w:w="2268" w:type="dxa"/>
          </w:tcPr>
          <w:p w14:paraId="04496B2D" w14:textId="77777777" w:rsidR="00E11163" w:rsidRPr="006173F9" w:rsidRDefault="00E11163" w:rsidP="005B4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Piedāvājuma cena par visu apjomu,</w:t>
            </w:r>
            <w:r w:rsidRPr="006173F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 xml:space="preserve"> EUR bez PVN</w:t>
            </w:r>
          </w:p>
        </w:tc>
        <w:tc>
          <w:tcPr>
            <w:tcW w:w="6096" w:type="dxa"/>
          </w:tcPr>
          <w:p w14:paraId="0FA15A0B" w14:textId="77777777" w:rsidR="00E11163" w:rsidRPr="006173F9" w:rsidRDefault="00E11163" w:rsidP="005B4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p</w:t>
            </w: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iedāvātās preces ilustratīvs attēls</w:t>
            </w:r>
          </w:p>
        </w:tc>
      </w:tr>
      <w:tr w:rsidR="00E11163" w:rsidRPr="006173F9" w14:paraId="39AE0A42" w14:textId="77777777" w:rsidTr="005B43AA">
        <w:tc>
          <w:tcPr>
            <w:tcW w:w="984" w:type="dxa"/>
          </w:tcPr>
          <w:p w14:paraId="1C6AAA19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14:paraId="430C30A9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USB </w:t>
            </w:r>
            <w:r w:rsidRPr="006173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flesh</w:t>
            </w:r>
          </w:p>
        </w:tc>
        <w:tc>
          <w:tcPr>
            <w:tcW w:w="1134" w:type="dxa"/>
          </w:tcPr>
          <w:p w14:paraId="45B3AA59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189AE1D7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6AFDA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F250142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63" w:rsidRPr="006173F9" w14:paraId="6476978B" w14:textId="77777777" w:rsidTr="005B43AA">
        <w:tc>
          <w:tcPr>
            <w:tcW w:w="984" w:type="dxa"/>
          </w:tcPr>
          <w:p w14:paraId="64CC522D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76" w:type="dxa"/>
          </w:tcPr>
          <w:p w14:paraId="0D797E23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Termokrūze</w:t>
            </w:r>
            <w:r w:rsidRPr="00617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 zelta pamatni</w:t>
            </w:r>
          </w:p>
        </w:tc>
        <w:tc>
          <w:tcPr>
            <w:tcW w:w="1134" w:type="dxa"/>
          </w:tcPr>
          <w:p w14:paraId="08E8CCE0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66085DC7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02822B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489484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63" w:rsidRPr="006173F9" w14:paraId="354D7127" w14:textId="77777777" w:rsidTr="005B43AA">
        <w:tc>
          <w:tcPr>
            <w:tcW w:w="984" w:type="dxa"/>
          </w:tcPr>
          <w:p w14:paraId="34A0989F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76" w:type="dxa"/>
          </w:tcPr>
          <w:p w14:paraId="100BDF89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Ūdens pudele</w:t>
            </w:r>
          </w:p>
        </w:tc>
        <w:tc>
          <w:tcPr>
            <w:tcW w:w="1134" w:type="dxa"/>
          </w:tcPr>
          <w:p w14:paraId="328B4118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234D03A5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91A72F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AC79289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63" w:rsidRPr="006173F9" w14:paraId="20A7F8E2" w14:textId="77777777" w:rsidTr="005B43AA">
        <w:tc>
          <w:tcPr>
            <w:tcW w:w="984" w:type="dxa"/>
            <w:tcBorders>
              <w:bottom w:val="single" w:sz="4" w:space="0" w:color="auto"/>
            </w:tcBorders>
          </w:tcPr>
          <w:p w14:paraId="76FAC7C5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0DCED245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Automātiskais lietussargs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6564BA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6D60E3D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ECE565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729261E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63" w:rsidRPr="006173F9" w14:paraId="1DB648F9" w14:textId="77777777" w:rsidTr="005B43AA">
        <w:tc>
          <w:tcPr>
            <w:tcW w:w="984" w:type="dxa"/>
            <w:tcBorders>
              <w:bottom w:val="single" w:sz="4" w:space="0" w:color="auto"/>
            </w:tcBorders>
          </w:tcPr>
          <w:p w14:paraId="6703C17A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6225B2F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Dāvanu maisiņš (A5) papīra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10E933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CF1C2D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78AB3C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4E022C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63" w:rsidRPr="006173F9" w14:paraId="0BF85C6B" w14:textId="77777777" w:rsidTr="005B43AA"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A3D03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A3A403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CDBF" w14:textId="77777777" w:rsidR="00E11163" w:rsidRPr="006173F9" w:rsidRDefault="00E11163" w:rsidP="00E11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Piedāvājuma cena par visu apjomu kopā, EUR bez PVN</w:t>
            </w:r>
          </w:p>
        </w:tc>
        <w:tc>
          <w:tcPr>
            <w:tcW w:w="2268" w:type="dxa"/>
          </w:tcPr>
          <w:p w14:paraId="6BFCFD3D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8BF9BB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63" w:rsidRPr="006173F9" w14:paraId="7916BF56" w14:textId="77777777" w:rsidTr="005B43A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1FE3469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D7B2F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B8827" w14:textId="77777777" w:rsidR="00E11163" w:rsidRPr="006173F9" w:rsidRDefault="00E11163" w:rsidP="00E11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>PVN ___%</w:t>
            </w:r>
          </w:p>
        </w:tc>
        <w:tc>
          <w:tcPr>
            <w:tcW w:w="2268" w:type="dxa"/>
          </w:tcPr>
          <w:p w14:paraId="0002FDFD" w14:textId="77777777" w:rsidR="00E11163" w:rsidRPr="001852B6" w:rsidRDefault="00E11163" w:rsidP="00E11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0DD680C5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163" w:rsidRPr="006173F9" w14:paraId="79DAE2C9" w14:textId="77777777" w:rsidTr="005B43A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8B72FA0" w14:textId="77777777" w:rsidR="00E11163" w:rsidRPr="006173F9" w:rsidRDefault="00E11163" w:rsidP="005B43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B0C94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E628F" w14:textId="77777777" w:rsidR="00E11163" w:rsidRPr="006173F9" w:rsidRDefault="00E11163" w:rsidP="00E11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/>
                <w:sz w:val="24"/>
                <w:szCs w:val="24"/>
              </w:rPr>
              <w:t xml:space="preserve">Piedāvājuma cena kopā ar PVN </w:t>
            </w:r>
          </w:p>
        </w:tc>
        <w:tc>
          <w:tcPr>
            <w:tcW w:w="2268" w:type="dxa"/>
          </w:tcPr>
          <w:p w14:paraId="41E7C4CB" w14:textId="77777777" w:rsidR="00E11163" w:rsidRPr="001852B6" w:rsidRDefault="00E11163" w:rsidP="00E11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7375661A" w14:textId="77777777" w:rsidR="00E11163" w:rsidRPr="006173F9" w:rsidRDefault="00E11163" w:rsidP="00E11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D3B3639" w14:textId="77777777" w:rsidR="00E11163" w:rsidRPr="006173F9" w:rsidRDefault="00E11163" w:rsidP="00E11163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 xml:space="preserve">Piedāvājuma cenā ir iekļautas visas ar iepirkuma priekšmetu saistītās izmaksas, </w:t>
      </w:r>
      <w:r w:rsidRPr="006173F9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6173F9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439C16A0" w14:textId="77777777" w:rsidR="00E11163" w:rsidRPr="006173F9" w:rsidRDefault="00E11163" w:rsidP="00E11163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>Piedāvājumā norādītā vienību cena paliek nemainīga visā līguma izpildes laikā.</w:t>
      </w:r>
    </w:p>
    <w:p w14:paraId="561CE3DF" w14:textId="77777777" w:rsidR="00E11163" w:rsidRPr="006173F9" w:rsidRDefault="00E11163" w:rsidP="00E11163">
      <w:pPr>
        <w:pStyle w:val="Sarakstarindkop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2D5EC37F" w14:textId="77777777" w:rsidR="00E11163" w:rsidRPr="006173F9" w:rsidRDefault="00E11163" w:rsidP="00E11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73F9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6173F9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77E9EAE" w14:textId="77777777" w:rsidR="00E11163" w:rsidRPr="006173F9" w:rsidRDefault="00E11163" w:rsidP="00E1116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E11163" w:rsidRPr="006173F9" w14:paraId="44963150" w14:textId="77777777" w:rsidTr="005B43AA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3F9A2DE3" w14:textId="77777777" w:rsidR="00E11163" w:rsidRPr="006173F9" w:rsidRDefault="00E11163" w:rsidP="005B43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18DF2B8B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163" w:rsidRPr="006173F9" w14:paraId="0DECC273" w14:textId="77777777" w:rsidTr="005B43AA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0EE9E48" w14:textId="77777777" w:rsidR="00E11163" w:rsidRPr="006173F9" w:rsidRDefault="00E11163" w:rsidP="005B43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6D3B1049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163" w:rsidRPr="006173F9" w14:paraId="3F408FA9" w14:textId="77777777" w:rsidTr="005B43AA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EEC680E" w14:textId="77777777" w:rsidR="00E11163" w:rsidRPr="006173F9" w:rsidRDefault="00E11163" w:rsidP="005B43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 w:rsidRPr="006173F9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5E60B65A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163" w:rsidRPr="006173F9" w14:paraId="104EF3AE" w14:textId="77777777" w:rsidTr="005B43AA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AD40EA1" w14:textId="77777777" w:rsidR="00E11163" w:rsidRPr="006173F9" w:rsidRDefault="00E11163" w:rsidP="005B43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3F9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2441EDDD" w14:textId="77777777" w:rsidR="00E11163" w:rsidRPr="006173F9" w:rsidRDefault="00E11163" w:rsidP="005B4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A60FC99" w14:textId="79800A57" w:rsidR="000406B9" w:rsidRDefault="00E11163" w:rsidP="00E11163">
      <w:pPr>
        <w:jc w:val="center"/>
      </w:pPr>
      <w:r w:rsidRPr="006173F9">
        <w:rPr>
          <w:rFonts w:ascii="Times New Roman" w:hAnsi="Times New Roman"/>
          <w:sz w:val="24"/>
          <w:szCs w:val="24"/>
        </w:rPr>
        <w:t xml:space="preserve">Piedāvājumu paraksta pretendenta </w:t>
      </w:r>
      <w:proofErr w:type="spellStart"/>
      <w:r w:rsidRPr="006173F9">
        <w:rPr>
          <w:rFonts w:ascii="Times New Roman" w:hAnsi="Times New Roman"/>
          <w:sz w:val="24"/>
          <w:szCs w:val="24"/>
        </w:rPr>
        <w:t>paraksttiesīgā</w:t>
      </w:r>
      <w:proofErr w:type="spellEnd"/>
      <w:r w:rsidRPr="006173F9">
        <w:rPr>
          <w:rFonts w:ascii="Times New Roman" w:hAnsi="Times New Roman"/>
          <w:sz w:val="24"/>
          <w:szCs w:val="24"/>
        </w:rPr>
        <w:t xml:space="preserve"> persona</w:t>
      </w:r>
    </w:p>
    <w:sectPr w:rsidR="000406B9" w:rsidSect="00E11163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00E4" w14:textId="77777777" w:rsidR="00B162C0" w:rsidRDefault="00B162C0" w:rsidP="00E11163">
      <w:pPr>
        <w:spacing w:after="0" w:line="240" w:lineRule="auto"/>
      </w:pPr>
      <w:r>
        <w:separator/>
      </w:r>
    </w:p>
  </w:endnote>
  <w:endnote w:type="continuationSeparator" w:id="0">
    <w:p w14:paraId="76E12B2A" w14:textId="77777777" w:rsidR="00B162C0" w:rsidRDefault="00B162C0" w:rsidP="00E1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EFE3" w14:textId="77777777" w:rsidR="00B162C0" w:rsidRDefault="00B162C0" w:rsidP="00E11163">
      <w:pPr>
        <w:spacing w:after="0" w:line="240" w:lineRule="auto"/>
      </w:pPr>
      <w:r>
        <w:separator/>
      </w:r>
    </w:p>
  </w:footnote>
  <w:footnote w:type="continuationSeparator" w:id="0">
    <w:p w14:paraId="4D867A00" w14:textId="77777777" w:rsidR="00B162C0" w:rsidRDefault="00B162C0" w:rsidP="00E11163">
      <w:pPr>
        <w:spacing w:after="0" w:line="240" w:lineRule="auto"/>
      </w:pPr>
      <w:r>
        <w:continuationSeparator/>
      </w:r>
    </w:p>
  </w:footnote>
  <w:footnote w:id="1">
    <w:p w14:paraId="20550FF8" w14:textId="77777777" w:rsidR="00E11163" w:rsidRDefault="00E11163" w:rsidP="00E11163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63"/>
    <w:rsid w:val="000406B9"/>
    <w:rsid w:val="001A4444"/>
    <w:rsid w:val="00432C0A"/>
    <w:rsid w:val="008E4647"/>
    <w:rsid w:val="00B042AA"/>
    <w:rsid w:val="00B162C0"/>
    <w:rsid w:val="00E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B04"/>
  <w15:chartTrackingRefBased/>
  <w15:docId w15:val="{D1AB7984-335A-4D7D-BFF5-F5B6200B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116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111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11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11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111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11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116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116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116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116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1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116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116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116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116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116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116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11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1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11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11163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E111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1116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116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1163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111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E11163"/>
  </w:style>
  <w:style w:type="paragraph" w:styleId="Vresteksts">
    <w:name w:val="footnote text"/>
    <w:basedOn w:val="Parasts"/>
    <w:link w:val="VrestekstsRakstz"/>
    <w:rsid w:val="00E111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E11163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symbol,Footnote Reference Number,ftref"/>
    <w:rsid w:val="00E11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2025-01-23T07:45:00Z</dcterms:created>
  <dcterms:modified xsi:type="dcterms:W3CDTF">2025-01-23T07:47:00Z</dcterms:modified>
</cp:coreProperties>
</file>